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4086CD" w14:textId="22A7B7C3" w:rsidR="00D11968" w:rsidRDefault="00252F5C" w:rsidP="00D11968">
      <w:pPr>
        <w:pBdr>
          <w:bottom w:val="single" w:sz="4" w:space="1" w:color="auto"/>
        </w:pBdr>
        <w:spacing w:after="0" w:line="240" w:lineRule="auto"/>
        <w:rPr>
          <w:rFonts w:ascii="Arial" w:hAnsi="Arial" w:cs="Arial"/>
          <w:sz w:val="24"/>
        </w:rPr>
      </w:pPr>
      <w:bookmarkStart w:id="0" w:name="_GoBack"/>
      <w:bookmarkEnd w:id="0"/>
      <w:r>
        <w:rPr>
          <w:rFonts w:ascii="Arial" w:hAnsi="Arial" w:cs="Arial"/>
          <w:noProof/>
          <w:sz w:val="24"/>
          <w:lang w:eastAsia="en-AU"/>
        </w:rPr>
        <mc:AlternateContent>
          <mc:Choice Requires="wps">
            <w:drawing>
              <wp:anchor distT="0" distB="0" distL="114300" distR="114300" simplePos="0" relativeHeight="251659264" behindDoc="0" locked="0" layoutInCell="1" allowOverlap="1" wp14:anchorId="1AF2AB22" wp14:editId="3FB45305">
                <wp:simplePos x="0" y="0"/>
                <wp:positionH relativeFrom="column">
                  <wp:posOffset>4660900</wp:posOffset>
                </wp:positionH>
                <wp:positionV relativeFrom="paragraph">
                  <wp:posOffset>-808934</wp:posOffset>
                </wp:positionV>
                <wp:extent cx="1619885" cy="850900"/>
                <wp:effectExtent l="0" t="0" r="0" b="6350"/>
                <wp:wrapNone/>
                <wp:docPr id="3" name="Rectangle 3"/>
                <wp:cNvGraphicFramePr/>
                <a:graphic xmlns:a="http://schemas.openxmlformats.org/drawingml/2006/main">
                  <a:graphicData uri="http://schemas.microsoft.com/office/word/2010/wordprocessingShape">
                    <wps:wsp>
                      <wps:cNvSpPr/>
                      <wps:spPr>
                        <a:xfrm>
                          <a:off x="0" y="0"/>
                          <a:ext cx="1619885" cy="850900"/>
                        </a:xfrm>
                        <a:prstGeom prst="rect">
                          <a:avLst/>
                        </a:prstGeom>
                        <a:solidFill>
                          <a:srgbClr val="FFFFFF">
                            <a:alpha val="87059"/>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13A912A" w14:textId="77777777" w:rsidR="00D11968" w:rsidRPr="006C4278" w:rsidRDefault="00D11968" w:rsidP="00D11968">
                            <w:pPr>
                              <w:jc w:val="center"/>
                              <w:rPr>
                                <w:color w:val="AEAAAA" w:themeColor="background2" w:themeShade="BF"/>
                                <w:sz w:val="16"/>
                              </w:rPr>
                            </w:pPr>
                            <w:r w:rsidRPr="006C4278">
                              <w:rPr>
                                <w:color w:val="AEAAAA" w:themeColor="background2" w:themeShade="BF"/>
                                <w:sz w:val="16"/>
                              </w:rPr>
                              <w:t>(Court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F2AB22" id="Rectangle 3" o:spid="_x0000_s1026" style="position:absolute;margin-left:367pt;margin-top:-63.7pt;width:127.55pt;height:6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S6ZxsgIAALkFAAAOAAAAZHJzL2Uyb0RvYy54bWysVMFu2zAMvQ/YPwi6r7bTpk2COkXQIsOA&#10;oivaDj0rshQbkEVNUuJkXz9Kst2g6y7DclAokXwkn0le3xxaRfbCugZ0SYuznBKhOVSN3pb0x8v6&#10;y4wS55mumAItSnoUjt4sP3+67sxCTKAGVQlLEES7RWdKWntvFlnmeC1a5s7ACI1KCbZlHq92m1WW&#10;dYjeqmyS55dZB7YyFrhwDl/vkpIuI76UgvvvUjrhiSop5ubjaeO5CWe2vGaLrWWmbnifBvuHLFrW&#10;aAw6Qt0xz8jONn9AtQ234ED6Mw5tBlI2XMQasJoif1fNc82MiLUgOc6MNLn/B8sf9o+WNFVJzynR&#10;rMVP9ISkMb1VgpwHejrjFmj1bB5tf3MohloP0rbhH6sgh0jpcaRUHDzh+FhcFvPZbEoJR91sms/z&#10;yHn25m2s818FtCQIJbUYPTLJ9vfOY0Q0HUxCMAeqqdaNUvFit5tbZcme4eddx1/yVaZm6XV2lU/n&#10;oQ7Ecck8yac4SpMOc51cYXYBV0OIkJyURvtAQio7Sv6oRLBT+klIZA8LnUTH2LdiTIlxLrQvkqpm&#10;lUg5TXP8DTmFTg8eMasIGJAlxh+xe4DBMoEM2CnL3j64itj2o3Oq6C+JJefRI0YG7UfnttFgP6pM&#10;YVV95GQ/kJSoCSz5w+aAJkHcQHXENrOQ5s8Zvm7wa98z5x+ZxYHD0cQl4r/jIRXgt4BeoqQG++uj&#10;92CPc4BaSjoc4JK6nztmBSXqm8YJmRcXF2Hi4+ViejXBiz3VbE41etfeAjZRgevK8CgGe68GUVpo&#10;X3HXrEJUVDHNMXZJ/SDe+rRWcFdxsVpFI5xxw/y9fjY8QAd6Qy+/HF6ZNX3DexyVBxhGnS3e9X2y&#10;DZ4aVjsPsolD8cZqTzzuh9hB/S4LC+j0Hq3eNu7yNwAAAP//AwBQSwMEFAAGAAgAAAAhALgxkdPh&#10;AAAACgEAAA8AAABkcnMvZG93bnJldi54bWxMj71ug0AQhPtIeYfTRkpnHzgWGMxiRUhJlcY/RcoF&#10;1kDM3SHubIifPpcqKUczmvkm282qFzcebWc0QrgMQLCuTN3pBuF0fFtsQFhHuqbeaEb4Zgu7/PEh&#10;o7Q2k97z7eAa4Uu0TQmhdW5IpbRVy4rs0gysvXc2oyLn5djIeqTJl6teroIgkoo67RdaGrhouboc&#10;rgohofn99Nndj5cpjPcfRXGvTPmF+Pw0v25BOJ7dXxh+8T065J6pNFddW9EjxC9r/8UhLMJVvAbh&#10;I8kmCUGUCFEEMs/k/wv5DwAAAP//AwBQSwECLQAUAAYACAAAACEAtoM4kv4AAADhAQAAEwAAAAAA&#10;AAAAAAAAAAAAAAAAW0NvbnRlbnRfVHlwZXNdLnhtbFBLAQItABQABgAIAAAAIQA4/SH/1gAAAJQB&#10;AAALAAAAAAAAAAAAAAAAAC8BAABfcmVscy8ucmVsc1BLAQItABQABgAIAAAAIQD8S6ZxsgIAALkF&#10;AAAOAAAAAAAAAAAAAAAAAC4CAABkcnMvZTJvRG9jLnhtbFBLAQItABQABgAIAAAAIQC4MZHT4QAA&#10;AAoBAAAPAAAAAAAAAAAAAAAAAAwFAABkcnMvZG93bnJldi54bWxQSwUGAAAAAAQABADzAAAAGgYA&#10;AAAA&#10;" stroked="f" strokeweight="1pt">
                <v:fill opacity="57054f"/>
                <v:textbox>
                  <w:txbxContent>
                    <w:p w14:paraId="213A912A" w14:textId="77777777" w:rsidR="00D11968" w:rsidRPr="006C4278" w:rsidRDefault="00D11968" w:rsidP="00D11968">
                      <w:pPr>
                        <w:jc w:val="center"/>
                        <w:rPr>
                          <w:color w:val="AEAAAA" w:themeColor="background2" w:themeShade="BF"/>
                          <w:sz w:val="16"/>
                        </w:rPr>
                      </w:pPr>
                      <w:r w:rsidRPr="006C4278">
                        <w:rPr>
                          <w:color w:val="AEAAAA" w:themeColor="background2" w:themeShade="BF"/>
                          <w:sz w:val="16"/>
                        </w:rPr>
                        <w:t>(Court Use Only)</w:t>
                      </w:r>
                    </w:p>
                  </w:txbxContent>
                </v:textbox>
              </v:rect>
            </w:pict>
          </mc:Fallback>
        </mc:AlternateContent>
      </w:r>
    </w:p>
    <w:p w14:paraId="44802FE7" w14:textId="5E1423D4" w:rsidR="008C3610" w:rsidRDefault="008C3610" w:rsidP="00EF611F">
      <w:pPr>
        <w:pBdr>
          <w:bottom w:val="single" w:sz="4" w:space="1" w:color="auto"/>
        </w:pBdr>
        <w:rPr>
          <w:rFonts w:ascii="Arial" w:hAnsi="Arial" w:cs="Arial"/>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D966" w:themeFill="accent4" w:themeFillTint="99"/>
        <w:tblLook w:val="04A0" w:firstRow="1" w:lastRow="0" w:firstColumn="1" w:lastColumn="0" w:noHBand="0" w:noVBand="1"/>
      </w:tblPr>
      <w:tblGrid>
        <w:gridCol w:w="10456"/>
      </w:tblGrid>
      <w:tr w:rsidR="008C3610" w14:paraId="037585A3" w14:textId="77777777" w:rsidTr="00383066">
        <w:tc>
          <w:tcPr>
            <w:tcW w:w="10456" w:type="dxa"/>
            <w:shd w:val="clear" w:color="auto" w:fill="CA4E27"/>
          </w:tcPr>
          <w:p w14:paraId="4488513E" w14:textId="77777777" w:rsidR="008E0F71" w:rsidRPr="008E0F71" w:rsidRDefault="008E0F71" w:rsidP="008E0F71">
            <w:pPr>
              <w:jc w:val="center"/>
              <w:rPr>
                <w:rFonts w:ascii="Arial" w:hAnsi="Arial" w:cs="Arial"/>
                <w:b/>
                <w:sz w:val="12"/>
              </w:rPr>
            </w:pPr>
          </w:p>
          <w:p w14:paraId="5528FBFA" w14:textId="77777777" w:rsidR="008E0F71" w:rsidRPr="00383066" w:rsidRDefault="008E0F71" w:rsidP="008E0F71">
            <w:pPr>
              <w:jc w:val="center"/>
              <w:rPr>
                <w:rFonts w:ascii="Arial" w:hAnsi="Arial" w:cs="Arial"/>
                <w:b/>
                <w:color w:val="FFFFFF" w:themeColor="background1"/>
                <w:sz w:val="24"/>
              </w:rPr>
            </w:pPr>
            <w:r w:rsidRPr="00383066">
              <w:rPr>
                <w:rFonts w:ascii="Arial" w:hAnsi="Arial" w:cs="Arial"/>
                <w:b/>
                <w:color w:val="FFFFFF" w:themeColor="background1"/>
                <w:sz w:val="24"/>
              </w:rPr>
              <w:t>COMPLAINTS POLICY AND PROCEDURE</w:t>
            </w:r>
          </w:p>
          <w:p w14:paraId="04BA8B10" w14:textId="20579850" w:rsidR="008C3610" w:rsidRDefault="008E0F71" w:rsidP="008E0F71">
            <w:pPr>
              <w:spacing w:line="360" w:lineRule="auto"/>
              <w:jc w:val="center"/>
              <w:rPr>
                <w:rFonts w:ascii="Arial" w:hAnsi="Arial" w:cs="Arial"/>
                <w:sz w:val="24"/>
              </w:rPr>
            </w:pPr>
            <w:r w:rsidRPr="00383066">
              <w:rPr>
                <w:rFonts w:ascii="Arial" w:hAnsi="Arial" w:cs="Arial"/>
                <w:b/>
                <w:color w:val="FFFFFF" w:themeColor="background1"/>
                <w:sz w:val="24"/>
              </w:rPr>
              <w:t>(ADR CONVENORS)</w:t>
            </w:r>
          </w:p>
        </w:tc>
      </w:tr>
    </w:tbl>
    <w:p w14:paraId="47716A1F" w14:textId="77777777" w:rsidR="008E0F71" w:rsidRDefault="008E0F71" w:rsidP="008E0F71">
      <w:pPr>
        <w:spacing w:after="0" w:line="240" w:lineRule="auto"/>
        <w:rPr>
          <w:rFonts w:ascii="Arial" w:hAnsi="Arial" w:cs="Arial"/>
          <w:sz w:val="24"/>
        </w:rPr>
      </w:pPr>
    </w:p>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10456"/>
      </w:tblGrid>
      <w:tr w:rsidR="008E0F71" w14:paraId="74F298D4" w14:textId="77777777" w:rsidTr="00383066">
        <w:trPr>
          <w:trHeight w:val="414"/>
          <w:tblHeader/>
        </w:trPr>
        <w:tc>
          <w:tcPr>
            <w:tcW w:w="10456" w:type="dxa"/>
            <w:shd w:val="clear" w:color="auto" w:fill="ECAF9C"/>
            <w:vAlign w:val="center"/>
          </w:tcPr>
          <w:p w14:paraId="650110E9" w14:textId="303A558B" w:rsidR="008E0F71" w:rsidRPr="00684A68" w:rsidRDefault="00B35FD9" w:rsidP="00503239">
            <w:pPr>
              <w:rPr>
                <w:rFonts w:ascii="Arial" w:hAnsi="Arial" w:cs="Arial"/>
                <w:b/>
                <w:sz w:val="24"/>
              </w:rPr>
            </w:pPr>
            <w:r w:rsidRPr="00684A68">
              <w:rPr>
                <w:rFonts w:ascii="Arial" w:hAnsi="Arial" w:cs="Arial"/>
                <w:b/>
                <w:sz w:val="24"/>
              </w:rPr>
              <w:t>INTRODUCTION</w:t>
            </w:r>
          </w:p>
        </w:tc>
      </w:tr>
      <w:tr w:rsidR="008E0F71" w14:paraId="220E377C" w14:textId="77777777" w:rsidTr="008E0F71">
        <w:trPr>
          <w:trHeight w:val="1997"/>
          <w:tblHeader/>
        </w:trPr>
        <w:tc>
          <w:tcPr>
            <w:tcW w:w="10456" w:type="dxa"/>
            <w:vAlign w:val="center"/>
          </w:tcPr>
          <w:p w14:paraId="19DDE338" w14:textId="77777777" w:rsidR="008E0F71" w:rsidRPr="008E0F71" w:rsidRDefault="008E0F71" w:rsidP="00503239">
            <w:pPr>
              <w:rPr>
                <w:rFonts w:ascii="Arial" w:hAnsi="Arial" w:cs="Arial"/>
                <w:color w:val="595959" w:themeColor="text1" w:themeTint="A6"/>
              </w:rPr>
            </w:pPr>
            <w:r w:rsidRPr="008E0F71">
              <w:rPr>
                <w:rFonts w:ascii="Arial" w:hAnsi="Arial" w:cs="Arial"/>
                <w:color w:val="595959" w:themeColor="text1" w:themeTint="A6"/>
              </w:rPr>
              <w:t xml:space="preserve">This complaints policy and procedure provides the framework for the management of complaints about ADR Convenors on the Land Court ADR Panel (ADR Convenors). </w:t>
            </w:r>
          </w:p>
          <w:p w14:paraId="7062ABE4" w14:textId="77777777" w:rsidR="008E0F71" w:rsidRPr="008E0F71" w:rsidRDefault="008E0F71" w:rsidP="00503239">
            <w:pPr>
              <w:rPr>
                <w:rFonts w:ascii="Arial" w:hAnsi="Arial" w:cs="Arial"/>
                <w:color w:val="595959" w:themeColor="text1" w:themeTint="A6"/>
              </w:rPr>
            </w:pPr>
          </w:p>
          <w:p w14:paraId="14692DC9" w14:textId="77777777" w:rsidR="008E0F71" w:rsidRDefault="008E0F71" w:rsidP="00503239">
            <w:pPr>
              <w:rPr>
                <w:rFonts w:ascii="Arial" w:hAnsi="Arial" w:cs="Arial"/>
                <w:sz w:val="24"/>
              </w:rPr>
            </w:pPr>
            <w:r w:rsidRPr="008E0F71">
              <w:rPr>
                <w:rFonts w:ascii="Arial" w:hAnsi="Arial" w:cs="Arial"/>
                <w:color w:val="595959" w:themeColor="text1" w:themeTint="A6"/>
              </w:rPr>
              <w:t xml:space="preserve">If you wish to lodge a complaint about the conduct of, or service by, Land Court Registry staff, please see the Department of Justice and Attorney-General Policy.  If you would like to pay a compliment to, or provide positive feedback about your experience or contact with, Land Court Registry staff please contact the Registrar through the Registry via email </w:t>
            </w:r>
            <w:hyperlink r:id="rId11" w:history="1">
              <w:r w:rsidRPr="008E0F71">
                <w:rPr>
                  <w:rStyle w:val="Hyperlink"/>
                  <w:rFonts w:ascii="Arial" w:hAnsi="Arial" w:cs="Arial"/>
                </w:rPr>
                <w:t>ADRPanel.Landcourt@justice.qld.gov.au</w:t>
              </w:r>
            </w:hyperlink>
            <w:r w:rsidRPr="008E0F71">
              <w:rPr>
                <w:rFonts w:ascii="Arial" w:hAnsi="Arial" w:cs="Arial"/>
              </w:rPr>
              <w:t xml:space="preserve"> </w:t>
            </w:r>
            <w:r w:rsidRPr="008E0F71">
              <w:rPr>
                <w:rFonts w:ascii="Arial" w:hAnsi="Arial" w:cs="Arial"/>
                <w:color w:val="595959" w:themeColor="text1" w:themeTint="A6"/>
              </w:rPr>
              <w:t>.</w:t>
            </w:r>
          </w:p>
        </w:tc>
      </w:tr>
    </w:tbl>
    <w:p w14:paraId="1673641F" w14:textId="77777777" w:rsidR="008E0F71" w:rsidRDefault="008E0F71" w:rsidP="008E0F71">
      <w:pPr>
        <w:spacing w:after="0" w:line="240" w:lineRule="auto"/>
        <w:rPr>
          <w:rFonts w:ascii="Arial" w:hAnsi="Arial" w:cs="Arial"/>
          <w:sz w:val="24"/>
        </w:rPr>
      </w:pPr>
    </w:p>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10456"/>
      </w:tblGrid>
      <w:tr w:rsidR="008E0F71" w14:paraId="6FCE6D85" w14:textId="77777777" w:rsidTr="00383066">
        <w:trPr>
          <w:trHeight w:val="414"/>
          <w:tblHeader/>
        </w:trPr>
        <w:tc>
          <w:tcPr>
            <w:tcW w:w="10456" w:type="dxa"/>
            <w:shd w:val="clear" w:color="auto" w:fill="ECAF9C"/>
            <w:vAlign w:val="center"/>
          </w:tcPr>
          <w:p w14:paraId="63D4A518" w14:textId="4E5EB76F" w:rsidR="008E0F71" w:rsidRPr="00684A68" w:rsidRDefault="00B35FD9" w:rsidP="00503239">
            <w:pPr>
              <w:rPr>
                <w:rFonts w:ascii="Arial" w:hAnsi="Arial" w:cs="Arial"/>
                <w:b/>
                <w:sz w:val="24"/>
              </w:rPr>
            </w:pPr>
            <w:r>
              <w:rPr>
                <w:rFonts w:ascii="Arial" w:hAnsi="Arial" w:cs="Arial"/>
                <w:b/>
                <w:sz w:val="24"/>
              </w:rPr>
              <w:t>BACKGROUND</w:t>
            </w:r>
          </w:p>
        </w:tc>
      </w:tr>
      <w:tr w:rsidR="008E0F71" w14:paraId="53722497" w14:textId="77777777" w:rsidTr="008E0F71">
        <w:trPr>
          <w:trHeight w:val="6090"/>
          <w:tblHeader/>
        </w:trPr>
        <w:tc>
          <w:tcPr>
            <w:tcW w:w="10456" w:type="dxa"/>
            <w:vAlign w:val="center"/>
          </w:tcPr>
          <w:p w14:paraId="5D4C856B" w14:textId="77777777" w:rsidR="008E0F71" w:rsidRPr="005869E1" w:rsidRDefault="008E0F71" w:rsidP="00503239">
            <w:pPr>
              <w:rPr>
                <w:rFonts w:ascii="Arial" w:hAnsi="Arial" w:cs="Arial"/>
                <w:color w:val="595959" w:themeColor="text1" w:themeTint="A6"/>
              </w:rPr>
            </w:pPr>
            <w:r w:rsidRPr="005869E1">
              <w:rPr>
                <w:rFonts w:ascii="Arial" w:hAnsi="Arial" w:cs="Arial"/>
                <w:color w:val="595959" w:themeColor="text1" w:themeTint="A6"/>
              </w:rPr>
              <w:t xml:space="preserve">The President of the Land Court has administrative responsibility for the orderly and expeditious exercise of the jurisdiction and powers of the Land Court. </w:t>
            </w:r>
          </w:p>
          <w:p w14:paraId="5BA74EAF" w14:textId="77777777" w:rsidR="008E0F71" w:rsidRPr="005869E1" w:rsidRDefault="008E0F71" w:rsidP="00503239">
            <w:pPr>
              <w:rPr>
                <w:rFonts w:ascii="Arial" w:hAnsi="Arial" w:cs="Arial"/>
                <w:color w:val="595959" w:themeColor="text1" w:themeTint="A6"/>
              </w:rPr>
            </w:pPr>
          </w:p>
          <w:p w14:paraId="3C82703B" w14:textId="77777777" w:rsidR="008E0F71" w:rsidRPr="005869E1" w:rsidRDefault="008E0F71" w:rsidP="00503239">
            <w:pPr>
              <w:rPr>
                <w:rFonts w:ascii="Arial" w:hAnsi="Arial" w:cs="Arial"/>
                <w:color w:val="595959" w:themeColor="text1" w:themeTint="A6"/>
              </w:rPr>
            </w:pPr>
            <w:r w:rsidRPr="005869E1">
              <w:rPr>
                <w:rFonts w:ascii="Arial" w:hAnsi="Arial" w:cs="Arial"/>
                <w:color w:val="595959" w:themeColor="text1" w:themeTint="A6"/>
              </w:rPr>
              <w:t xml:space="preserve">All ADR Convenors are accredited under the National Mediator Accreditation Standards.  The responsibility for disciplining ADR Convenors lies with the accrediting bodies.  However, the Land Court has a continuing interest in ensuring that its ADR Convenors are of high quality and meeting the needs of parties who have disputes within its jurisdiction.  The Land Court will provide continuing professional development for ADR Convenors.  </w:t>
            </w:r>
          </w:p>
          <w:p w14:paraId="73186D69" w14:textId="77777777" w:rsidR="008E0F71" w:rsidRPr="005869E1" w:rsidRDefault="008E0F71" w:rsidP="00503239">
            <w:pPr>
              <w:rPr>
                <w:rFonts w:ascii="Arial" w:hAnsi="Arial" w:cs="Arial"/>
                <w:color w:val="595959" w:themeColor="text1" w:themeTint="A6"/>
              </w:rPr>
            </w:pPr>
          </w:p>
          <w:p w14:paraId="0B2A3727" w14:textId="77777777" w:rsidR="008E0F71" w:rsidRPr="005869E1" w:rsidRDefault="008E0F71" w:rsidP="00503239">
            <w:pPr>
              <w:rPr>
                <w:rFonts w:ascii="Arial" w:hAnsi="Arial" w:cs="Arial"/>
                <w:color w:val="595959" w:themeColor="text1" w:themeTint="A6"/>
              </w:rPr>
            </w:pPr>
            <w:r w:rsidRPr="005869E1">
              <w:rPr>
                <w:rFonts w:ascii="Arial" w:hAnsi="Arial" w:cs="Arial"/>
                <w:color w:val="595959" w:themeColor="text1" w:themeTint="A6"/>
              </w:rPr>
              <w:t>Parties’ feedback, both positive and constructive, will assist the Land Court in developing a responsive and appropriate program.  Parties may choose to lodge a complaint with the Land Court, without the need or desire to escalate the complaint to a formal disciplinary process.</w:t>
            </w:r>
          </w:p>
          <w:p w14:paraId="6D929D1F" w14:textId="77777777" w:rsidR="008E0F71" w:rsidRPr="005869E1" w:rsidRDefault="008E0F71" w:rsidP="00503239">
            <w:pPr>
              <w:rPr>
                <w:rFonts w:ascii="Arial" w:hAnsi="Arial" w:cs="Arial"/>
                <w:color w:val="595959" w:themeColor="text1" w:themeTint="A6"/>
              </w:rPr>
            </w:pPr>
          </w:p>
          <w:p w14:paraId="2CA292D1" w14:textId="77777777" w:rsidR="008E0F71" w:rsidRPr="005869E1" w:rsidRDefault="008E0F71" w:rsidP="00503239">
            <w:pPr>
              <w:rPr>
                <w:rFonts w:ascii="Arial" w:hAnsi="Arial" w:cs="Arial"/>
                <w:color w:val="595959" w:themeColor="text1" w:themeTint="A6"/>
              </w:rPr>
            </w:pPr>
            <w:r w:rsidRPr="005869E1">
              <w:rPr>
                <w:rFonts w:ascii="Arial" w:hAnsi="Arial" w:cs="Arial"/>
                <w:color w:val="595959" w:themeColor="text1" w:themeTint="A6"/>
              </w:rPr>
              <w:t>This policy and procedure offers a process by which complaints about the conduct of an ADR Convenor can be brought to the attention of the President and, if appropriate, the ADR Convenor concerned.</w:t>
            </w:r>
          </w:p>
          <w:p w14:paraId="73E72CC5" w14:textId="77777777" w:rsidR="008E0F71" w:rsidRPr="005869E1" w:rsidRDefault="008E0F71" w:rsidP="00503239">
            <w:pPr>
              <w:rPr>
                <w:rFonts w:ascii="Arial" w:hAnsi="Arial" w:cs="Arial"/>
                <w:color w:val="595959" w:themeColor="text1" w:themeTint="A6"/>
              </w:rPr>
            </w:pPr>
          </w:p>
          <w:p w14:paraId="06AD8166" w14:textId="77777777" w:rsidR="008E0F71" w:rsidRPr="005869E1" w:rsidRDefault="008E0F71" w:rsidP="00503239">
            <w:pPr>
              <w:rPr>
                <w:rFonts w:ascii="Arial" w:hAnsi="Arial" w:cs="Arial"/>
                <w:color w:val="595959" w:themeColor="text1" w:themeTint="A6"/>
              </w:rPr>
            </w:pPr>
            <w:r w:rsidRPr="005869E1">
              <w:rPr>
                <w:rFonts w:ascii="Arial" w:hAnsi="Arial" w:cs="Arial"/>
                <w:color w:val="595959" w:themeColor="text1" w:themeTint="A6"/>
              </w:rPr>
              <w:t>This process provides:</w:t>
            </w:r>
          </w:p>
          <w:p w14:paraId="4949D509" w14:textId="77777777" w:rsidR="008E0F71" w:rsidRPr="005869E1" w:rsidRDefault="008E0F71" w:rsidP="00503239">
            <w:pPr>
              <w:pStyle w:val="ListParagraph"/>
              <w:numPr>
                <w:ilvl w:val="0"/>
                <w:numId w:val="5"/>
              </w:numPr>
              <w:rPr>
                <w:rFonts w:ascii="Arial" w:hAnsi="Arial" w:cs="Arial"/>
                <w:color w:val="595959" w:themeColor="text1" w:themeTint="A6"/>
              </w:rPr>
            </w:pPr>
            <w:r w:rsidRPr="005869E1">
              <w:rPr>
                <w:rFonts w:ascii="Arial" w:hAnsi="Arial" w:cs="Arial"/>
                <w:color w:val="595959" w:themeColor="text1" w:themeTint="A6"/>
              </w:rPr>
              <w:t>An opportunity for complaints to be dealt with in an appropriate manner</w:t>
            </w:r>
          </w:p>
          <w:p w14:paraId="307E8FD7" w14:textId="77777777" w:rsidR="008E0F71" w:rsidRPr="005869E1" w:rsidRDefault="008E0F71" w:rsidP="00503239">
            <w:pPr>
              <w:pStyle w:val="ListParagraph"/>
              <w:numPr>
                <w:ilvl w:val="0"/>
                <w:numId w:val="5"/>
              </w:numPr>
              <w:rPr>
                <w:rFonts w:ascii="Arial" w:hAnsi="Arial" w:cs="Arial"/>
                <w:color w:val="595959" w:themeColor="text1" w:themeTint="A6"/>
              </w:rPr>
            </w:pPr>
            <w:r w:rsidRPr="005869E1">
              <w:rPr>
                <w:rFonts w:ascii="Arial" w:hAnsi="Arial" w:cs="Arial"/>
                <w:color w:val="595959" w:themeColor="text1" w:themeTint="A6"/>
              </w:rPr>
              <w:t>Valuable feedback to the Court and its Judicial Officers</w:t>
            </w:r>
          </w:p>
          <w:p w14:paraId="0260EF38" w14:textId="13448731" w:rsidR="008E0F71" w:rsidRPr="005869E1" w:rsidRDefault="00F17C0F" w:rsidP="00503239">
            <w:pPr>
              <w:pStyle w:val="ListParagraph"/>
              <w:numPr>
                <w:ilvl w:val="0"/>
                <w:numId w:val="5"/>
              </w:numPr>
              <w:rPr>
                <w:rFonts w:ascii="Arial" w:hAnsi="Arial" w:cs="Arial"/>
                <w:color w:val="595959" w:themeColor="text1" w:themeTint="A6"/>
              </w:rPr>
            </w:pPr>
            <w:r>
              <w:rPr>
                <w:rFonts w:ascii="Arial" w:hAnsi="Arial" w:cs="Arial"/>
                <w:color w:val="595959" w:themeColor="text1" w:themeTint="A6"/>
              </w:rPr>
              <w:t>An o</w:t>
            </w:r>
            <w:r w:rsidR="008E0F71" w:rsidRPr="005869E1">
              <w:rPr>
                <w:rFonts w:ascii="Arial" w:hAnsi="Arial" w:cs="Arial"/>
                <w:color w:val="595959" w:themeColor="text1" w:themeTint="A6"/>
              </w:rPr>
              <w:t>pportunity for the Court to explain the nature of its work and correct misunderstandings where they have occurred</w:t>
            </w:r>
          </w:p>
          <w:p w14:paraId="5BC5EF17" w14:textId="77777777" w:rsidR="008E0F71" w:rsidRPr="005869E1" w:rsidRDefault="008E0F71" w:rsidP="00503239">
            <w:pPr>
              <w:pStyle w:val="ListParagraph"/>
              <w:numPr>
                <w:ilvl w:val="0"/>
                <w:numId w:val="5"/>
              </w:numPr>
              <w:rPr>
                <w:rFonts w:ascii="Arial" w:hAnsi="Arial" w:cs="Arial"/>
                <w:color w:val="595959" w:themeColor="text1" w:themeTint="A6"/>
                <w:sz w:val="24"/>
              </w:rPr>
            </w:pPr>
            <w:r w:rsidRPr="005869E1">
              <w:rPr>
                <w:rFonts w:ascii="Arial" w:hAnsi="Arial" w:cs="Arial"/>
                <w:color w:val="595959" w:themeColor="text1" w:themeTint="A6"/>
              </w:rPr>
              <w:t>An opportunity for the Court to improve its performance</w:t>
            </w:r>
          </w:p>
        </w:tc>
      </w:tr>
    </w:tbl>
    <w:p w14:paraId="5B3C5640" w14:textId="77777777" w:rsidR="008E0F71" w:rsidRDefault="008E0F71" w:rsidP="008E0F71">
      <w:pPr>
        <w:spacing w:after="0" w:line="240" w:lineRule="auto"/>
        <w:rPr>
          <w:rFonts w:ascii="Arial" w:hAnsi="Arial" w:cs="Arial"/>
          <w:sz w:val="24"/>
        </w:rPr>
      </w:pPr>
    </w:p>
    <w:p w14:paraId="194B0613" w14:textId="6E34D7E6" w:rsidR="00383066" w:rsidRDefault="00383066">
      <w:pPr>
        <w:rPr>
          <w:rFonts w:ascii="Arial" w:hAnsi="Arial" w:cs="Arial"/>
          <w:sz w:val="24"/>
        </w:rPr>
      </w:pPr>
      <w:r>
        <w:rPr>
          <w:rFonts w:ascii="Arial" w:hAnsi="Arial" w:cs="Arial"/>
          <w:sz w:val="24"/>
        </w:rPr>
        <w:br w:type="page"/>
      </w:r>
    </w:p>
    <w:p w14:paraId="7C4B79F4" w14:textId="77777777" w:rsidR="00383066" w:rsidRDefault="00383066" w:rsidP="008E0F71">
      <w:pPr>
        <w:spacing w:after="0" w:line="240" w:lineRule="auto"/>
        <w:rPr>
          <w:rFonts w:ascii="Arial" w:hAnsi="Arial" w:cs="Arial"/>
          <w:sz w:val="24"/>
        </w:rPr>
      </w:pPr>
    </w:p>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10456"/>
      </w:tblGrid>
      <w:tr w:rsidR="008E0F71" w14:paraId="2302672E" w14:textId="77777777" w:rsidTr="00383066">
        <w:trPr>
          <w:trHeight w:val="414"/>
          <w:tblHeader/>
        </w:trPr>
        <w:tc>
          <w:tcPr>
            <w:tcW w:w="10456" w:type="dxa"/>
            <w:shd w:val="clear" w:color="auto" w:fill="ECAF9C"/>
            <w:vAlign w:val="center"/>
          </w:tcPr>
          <w:p w14:paraId="34C5CAD0" w14:textId="52F79FF2" w:rsidR="008E0F71" w:rsidRPr="00684A68" w:rsidRDefault="00B35FD9" w:rsidP="00503239">
            <w:pPr>
              <w:rPr>
                <w:rFonts w:ascii="Arial" w:hAnsi="Arial" w:cs="Arial"/>
                <w:b/>
                <w:sz w:val="24"/>
              </w:rPr>
            </w:pPr>
            <w:r>
              <w:rPr>
                <w:rFonts w:ascii="Arial" w:hAnsi="Arial" w:cs="Arial"/>
                <w:b/>
                <w:sz w:val="24"/>
              </w:rPr>
              <w:t>POLICY STATEMENT</w:t>
            </w:r>
          </w:p>
        </w:tc>
      </w:tr>
      <w:tr w:rsidR="008E0F71" w14:paraId="76B5F615" w14:textId="77777777" w:rsidTr="008E0F71">
        <w:trPr>
          <w:trHeight w:val="4436"/>
          <w:tblHeader/>
        </w:trPr>
        <w:tc>
          <w:tcPr>
            <w:tcW w:w="10456" w:type="dxa"/>
            <w:vAlign w:val="center"/>
          </w:tcPr>
          <w:p w14:paraId="2E3D0C7B" w14:textId="77777777" w:rsidR="008E0F71" w:rsidRPr="008E0F71" w:rsidRDefault="008E0F71" w:rsidP="00503239">
            <w:pPr>
              <w:rPr>
                <w:rFonts w:ascii="Arial" w:hAnsi="Arial" w:cs="Arial"/>
                <w:color w:val="595959" w:themeColor="text1" w:themeTint="A6"/>
              </w:rPr>
            </w:pPr>
            <w:r w:rsidRPr="008E0F71">
              <w:rPr>
                <w:rFonts w:ascii="Arial" w:hAnsi="Arial" w:cs="Arial"/>
                <w:color w:val="595959" w:themeColor="text1" w:themeTint="A6"/>
              </w:rPr>
              <w:t xml:space="preserve">The policy and the procedures that follow are underpinned by principles of openness and accountability, responsiveness, procedural fairness and privacy. That means: </w:t>
            </w:r>
          </w:p>
          <w:p w14:paraId="77148A12" w14:textId="77777777" w:rsidR="008E0F71" w:rsidRPr="008E0F71" w:rsidRDefault="008E0F71" w:rsidP="00503239">
            <w:pPr>
              <w:rPr>
                <w:rFonts w:ascii="Arial" w:hAnsi="Arial" w:cs="Arial"/>
                <w:color w:val="595959" w:themeColor="text1" w:themeTint="A6"/>
              </w:rPr>
            </w:pPr>
          </w:p>
          <w:p w14:paraId="6A01C800" w14:textId="47032AE2" w:rsidR="008E0F71" w:rsidRPr="008E0F71" w:rsidRDefault="008E0F71" w:rsidP="00503239">
            <w:pPr>
              <w:pStyle w:val="ListParagraph"/>
              <w:numPr>
                <w:ilvl w:val="0"/>
                <w:numId w:val="6"/>
              </w:numPr>
              <w:rPr>
                <w:rFonts w:ascii="Arial" w:hAnsi="Arial" w:cs="Arial"/>
                <w:color w:val="595959" w:themeColor="text1" w:themeTint="A6"/>
              </w:rPr>
            </w:pPr>
            <w:r w:rsidRPr="008E0F71">
              <w:rPr>
                <w:rFonts w:ascii="Arial" w:hAnsi="Arial" w:cs="Arial"/>
                <w:color w:val="595959" w:themeColor="text1" w:themeTint="A6"/>
              </w:rPr>
              <w:t>Members of the public will have access to information about how and where to make a complaint</w:t>
            </w:r>
            <w:r w:rsidR="00F17C0F">
              <w:rPr>
                <w:rFonts w:ascii="Arial" w:hAnsi="Arial" w:cs="Arial"/>
                <w:color w:val="595959" w:themeColor="text1" w:themeTint="A6"/>
              </w:rPr>
              <w:t>.</w:t>
            </w:r>
          </w:p>
          <w:p w14:paraId="6162A4C1" w14:textId="5F90EFE6" w:rsidR="008E0F71" w:rsidRPr="008E0F71" w:rsidRDefault="008E0F71" w:rsidP="00503239">
            <w:pPr>
              <w:pStyle w:val="ListParagraph"/>
              <w:numPr>
                <w:ilvl w:val="0"/>
                <w:numId w:val="6"/>
              </w:numPr>
              <w:rPr>
                <w:rFonts w:ascii="Arial" w:hAnsi="Arial" w:cs="Arial"/>
                <w:color w:val="595959" w:themeColor="text1" w:themeTint="A6"/>
              </w:rPr>
            </w:pPr>
            <w:r w:rsidRPr="008E0F71">
              <w:rPr>
                <w:rFonts w:ascii="Arial" w:hAnsi="Arial" w:cs="Arial"/>
                <w:color w:val="595959" w:themeColor="text1" w:themeTint="A6"/>
              </w:rPr>
              <w:t>Complaints will be dealt with in a timely manner</w:t>
            </w:r>
            <w:r w:rsidR="00F17C0F">
              <w:rPr>
                <w:rFonts w:ascii="Arial" w:hAnsi="Arial" w:cs="Arial"/>
                <w:color w:val="595959" w:themeColor="text1" w:themeTint="A6"/>
              </w:rPr>
              <w:t>.</w:t>
            </w:r>
          </w:p>
          <w:p w14:paraId="20576A84" w14:textId="5650358D" w:rsidR="008E0F71" w:rsidRPr="008E0F71" w:rsidRDefault="008E0F71" w:rsidP="00503239">
            <w:pPr>
              <w:pStyle w:val="ListParagraph"/>
              <w:numPr>
                <w:ilvl w:val="0"/>
                <w:numId w:val="6"/>
              </w:numPr>
              <w:rPr>
                <w:rFonts w:ascii="Arial" w:hAnsi="Arial" w:cs="Arial"/>
                <w:color w:val="595959" w:themeColor="text1" w:themeTint="A6"/>
              </w:rPr>
            </w:pPr>
            <w:r w:rsidRPr="008E0F71">
              <w:rPr>
                <w:rFonts w:ascii="Arial" w:hAnsi="Arial" w:cs="Arial"/>
                <w:color w:val="595959" w:themeColor="text1" w:themeTint="A6"/>
              </w:rPr>
              <w:t>Principles of procedural fairness will be applied to all complaints</w:t>
            </w:r>
            <w:r w:rsidR="00F17C0F">
              <w:rPr>
                <w:rFonts w:ascii="Arial" w:hAnsi="Arial" w:cs="Arial"/>
                <w:color w:val="595959" w:themeColor="text1" w:themeTint="A6"/>
              </w:rPr>
              <w:t>.</w:t>
            </w:r>
          </w:p>
          <w:p w14:paraId="549DFABB" w14:textId="5E234ABF" w:rsidR="008E0F71" w:rsidRPr="008E0F71" w:rsidRDefault="008E0F71" w:rsidP="00503239">
            <w:pPr>
              <w:pStyle w:val="ListParagraph"/>
              <w:numPr>
                <w:ilvl w:val="0"/>
                <w:numId w:val="6"/>
              </w:numPr>
              <w:rPr>
                <w:rFonts w:ascii="Arial" w:hAnsi="Arial" w:cs="Arial"/>
                <w:color w:val="595959" w:themeColor="text1" w:themeTint="A6"/>
              </w:rPr>
            </w:pPr>
            <w:r w:rsidRPr="008E0F71">
              <w:rPr>
                <w:rFonts w:ascii="Arial" w:hAnsi="Arial" w:cs="Arial"/>
                <w:color w:val="595959" w:themeColor="text1" w:themeTint="A6"/>
              </w:rPr>
              <w:t>Parties to a complaint will receive information that clearly explains h</w:t>
            </w:r>
            <w:r w:rsidR="00461104">
              <w:rPr>
                <w:rFonts w:ascii="Arial" w:hAnsi="Arial" w:cs="Arial"/>
                <w:color w:val="595959" w:themeColor="text1" w:themeTint="A6"/>
              </w:rPr>
              <w:t>ow the complaint was dealt with</w:t>
            </w:r>
            <w:r w:rsidR="00F17C0F">
              <w:rPr>
                <w:rFonts w:ascii="Arial" w:hAnsi="Arial" w:cs="Arial"/>
                <w:color w:val="595959" w:themeColor="text1" w:themeTint="A6"/>
              </w:rPr>
              <w:t>.</w:t>
            </w:r>
          </w:p>
          <w:p w14:paraId="4BA8BB4A" w14:textId="0AF76A24" w:rsidR="008E0F71" w:rsidRPr="008E0F71" w:rsidRDefault="008E0F71" w:rsidP="00503239">
            <w:pPr>
              <w:pStyle w:val="ListParagraph"/>
              <w:numPr>
                <w:ilvl w:val="0"/>
                <w:numId w:val="6"/>
              </w:numPr>
              <w:rPr>
                <w:rFonts w:ascii="Arial" w:hAnsi="Arial" w:cs="Arial"/>
                <w:color w:val="595959" w:themeColor="text1" w:themeTint="A6"/>
              </w:rPr>
            </w:pPr>
            <w:r w:rsidRPr="008E0F71">
              <w:rPr>
                <w:rFonts w:ascii="Arial" w:hAnsi="Arial" w:cs="Arial"/>
                <w:color w:val="595959" w:themeColor="text1" w:themeTint="A6"/>
              </w:rPr>
              <w:t>Complainants will be assured of anonymity and the complaint will be treated in confidence</w:t>
            </w:r>
            <w:r w:rsidR="00F17C0F">
              <w:rPr>
                <w:rFonts w:ascii="Arial" w:hAnsi="Arial" w:cs="Arial"/>
                <w:color w:val="595959" w:themeColor="text1" w:themeTint="A6"/>
              </w:rPr>
              <w:t>.</w:t>
            </w:r>
            <w:r w:rsidRPr="008E0F71">
              <w:rPr>
                <w:rFonts w:ascii="Arial" w:hAnsi="Arial" w:cs="Arial"/>
                <w:color w:val="595959" w:themeColor="text1" w:themeTint="A6"/>
              </w:rPr>
              <w:t xml:space="preserve"> </w:t>
            </w:r>
          </w:p>
          <w:p w14:paraId="2325DA2E" w14:textId="77777777" w:rsidR="008E0F71" w:rsidRPr="008E0F71" w:rsidRDefault="008E0F71" w:rsidP="00503239">
            <w:pPr>
              <w:rPr>
                <w:rFonts w:ascii="Arial" w:hAnsi="Arial" w:cs="Arial"/>
                <w:color w:val="595959" w:themeColor="text1" w:themeTint="A6"/>
              </w:rPr>
            </w:pPr>
          </w:p>
          <w:p w14:paraId="7E2FD772" w14:textId="77777777" w:rsidR="008E0F71" w:rsidRPr="008E0F71" w:rsidRDefault="008E0F71" w:rsidP="00503239">
            <w:pPr>
              <w:rPr>
                <w:rFonts w:ascii="Arial" w:hAnsi="Arial" w:cs="Arial"/>
                <w:color w:val="595959" w:themeColor="text1" w:themeTint="A6"/>
              </w:rPr>
            </w:pPr>
            <w:r w:rsidRPr="008E0F71">
              <w:rPr>
                <w:rFonts w:ascii="Arial" w:hAnsi="Arial" w:cs="Arial"/>
                <w:color w:val="595959" w:themeColor="text1" w:themeTint="A6"/>
              </w:rPr>
              <w:t>For the purposes of this policy, a complaint is defined as an expression of dissatisfaction.</w:t>
            </w:r>
          </w:p>
          <w:p w14:paraId="0C692E39" w14:textId="77777777" w:rsidR="008E0F71" w:rsidRPr="008E0F71" w:rsidRDefault="008E0F71" w:rsidP="00503239">
            <w:pPr>
              <w:rPr>
                <w:rFonts w:ascii="Arial" w:hAnsi="Arial" w:cs="Arial"/>
                <w:color w:val="595959" w:themeColor="text1" w:themeTint="A6"/>
              </w:rPr>
            </w:pPr>
          </w:p>
          <w:p w14:paraId="3A1EF349" w14:textId="77777777" w:rsidR="008E0F71" w:rsidRPr="008E0F71" w:rsidRDefault="008E0F71" w:rsidP="00503239">
            <w:pPr>
              <w:rPr>
                <w:rFonts w:ascii="Arial" w:hAnsi="Arial" w:cs="Arial"/>
                <w:color w:val="595959" w:themeColor="text1" w:themeTint="A6"/>
              </w:rPr>
            </w:pPr>
            <w:r w:rsidRPr="008E0F71">
              <w:rPr>
                <w:rFonts w:ascii="Arial" w:hAnsi="Arial" w:cs="Arial"/>
                <w:color w:val="595959" w:themeColor="text1" w:themeTint="A6"/>
              </w:rPr>
              <w:t xml:space="preserve">Complaints should not be made directly to the ADR Convenor involved. </w:t>
            </w:r>
          </w:p>
          <w:p w14:paraId="5068024C" w14:textId="77777777" w:rsidR="008E0F71" w:rsidRPr="008E0F71" w:rsidRDefault="008E0F71" w:rsidP="00503239">
            <w:pPr>
              <w:rPr>
                <w:rFonts w:ascii="Arial" w:hAnsi="Arial" w:cs="Arial"/>
                <w:color w:val="595959" w:themeColor="text1" w:themeTint="A6"/>
              </w:rPr>
            </w:pPr>
          </w:p>
          <w:p w14:paraId="412D0217" w14:textId="77777777" w:rsidR="008E0F71" w:rsidRPr="00684A68" w:rsidRDefault="008E0F71" w:rsidP="00503239">
            <w:pPr>
              <w:rPr>
                <w:rFonts w:ascii="Arial" w:hAnsi="Arial" w:cs="Arial"/>
                <w:sz w:val="24"/>
              </w:rPr>
            </w:pPr>
            <w:r w:rsidRPr="008E0F71">
              <w:rPr>
                <w:rFonts w:ascii="Arial" w:hAnsi="Arial" w:cs="Arial"/>
                <w:color w:val="595959" w:themeColor="text1" w:themeTint="A6"/>
              </w:rPr>
              <w:t xml:space="preserve">This policy and procedure does not, and cannot, provide a mechanism for dealing with complaints about parties, their legal representatives or agents. </w:t>
            </w:r>
          </w:p>
        </w:tc>
      </w:tr>
    </w:tbl>
    <w:p w14:paraId="3DAE79A4" w14:textId="77777777" w:rsidR="008E0F71" w:rsidRDefault="008E0F71" w:rsidP="008E0F71">
      <w:pPr>
        <w:spacing w:after="0" w:line="240" w:lineRule="auto"/>
        <w:rPr>
          <w:rFonts w:ascii="Arial" w:hAnsi="Arial" w:cs="Arial"/>
          <w:sz w:val="24"/>
        </w:rPr>
      </w:pPr>
    </w:p>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10456"/>
      </w:tblGrid>
      <w:tr w:rsidR="008E0F71" w14:paraId="0AB3EEDB" w14:textId="77777777" w:rsidTr="00383066">
        <w:trPr>
          <w:trHeight w:val="414"/>
          <w:tblHeader/>
        </w:trPr>
        <w:tc>
          <w:tcPr>
            <w:tcW w:w="10456" w:type="dxa"/>
            <w:shd w:val="clear" w:color="auto" w:fill="ECAF9C"/>
            <w:vAlign w:val="center"/>
          </w:tcPr>
          <w:p w14:paraId="697D65B6" w14:textId="5FD872D9" w:rsidR="008E0F71" w:rsidRPr="00684A68" w:rsidRDefault="00B35FD9" w:rsidP="00503239">
            <w:pPr>
              <w:rPr>
                <w:rFonts w:ascii="Arial" w:hAnsi="Arial" w:cs="Arial"/>
                <w:b/>
                <w:sz w:val="24"/>
              </w:rPr>
            </w:pPr>
            <w:r>
              <w:rPr>
                <w:rFonts w:ascii="Arial" w:hAnsi="Arial" w:cs="Arial"/>
                <w:b/>
                <w:sz w:val="24"/>
              </w:rPr>
              <w:t>CONDUCT STANDARDS</w:t>
            </w:r>
          </w:p>
        </w:tc>
      </w:tr>
      <w:tr w:rsidR="008E0F71" w14:paraId="28126CCC" w14:textId="77777777" w:rsidTr="008E0F71">
        <w:trPr>
          <w:trHeight w:val="4808"/>
          <w:tblHeader/>
        </w:trPr>
        <w:tc>
          <w:tcPr>
            <w:tcW w:w="10456" w:type="dxa"/>
            <w:vAlign w:val="center"/>
          </w:tcPr>
          <w:p w14:paraId="33DF0513" w14:textId="77777777" w:rsidR="008E0F71" w:rsidRPr="008E0F71" w:rsidRDefault="008E0F71" w:rsidP="00503239">
            <w:pPr>
              <w:rPr>
                <w:rFonts w:ascii="Arial" w:hAnsi="Arial" w:cs="Arial"/>
                <w:color w:val="595959" w:themeColor="text1" w:themeTint="A6"/>
              </w:rPr>
            </w:pPr>
            <w:r w:rsidRPr="008E0F71">
              <w:rPr>
                <w:rFonts w:ascii="Arial" w:hAnsi="Arial" w:cs="Arial"/>
                <w:color w:val="595959" w:themeColor="text1" w:themeTint="A6"/>
              </w:rPr>
              <w:t xml:space="preserve">The conduct of ADR Convenors must comply with the National Mediator Accreditation Practice Standards on page 9 of the National Mediator Accreditation System, </w:t>
            </w:r>
            <w:hyperlink r:id="rId12" w:history="1">
              <w:r w:rsidRPr="0095504F">
                <w:rPr>
                  <w:rStyle w:val="Hyperlink"/>
                  <w:rFonts w:ascii="Arial" w:hAnsi="Arial" w:cs="Arial"/>
                  <w:color w:val="4472C4" w:themeColor="accent5"/>
                </w:rPr>
                <w:t>which can be viewed here</w:t>
              </w:r>
            </w:hyperlink>
            <w:r w:rsidRPr="008E0F71">
              <w:rPr>
                <w:rFonts w:ascii="Arial" w:hAnsi="Arial" w:cs="Arial"/>
                <w:color w:val="595959" w:themeColor="text1" w:themeTint="A6"/>
              </w:rPr>
              <w:t>.</w:t>
            </w:r>
          </w:p>
          <w:p w14:paraId="0DD2889D" w14:textId="77777777" w:rsidR="008E0F71" w:rsidRPr="008E0F71" w:rsidRDefault="008E0F71" w:rsidP="00503239">
            <w:pPr>
              <w:rPr>
                <w:rFonts w:ascii="Arial" w:hAnsi="Arial" w:cs="Arial"/>
                <w:color w:val="595959" w:themeColor="text1" w:themeTint="A6"/>
              </w:rPr>
            </w:pPr>
          </w:p>
          <w:p w14:paraId="60CFB94A" w14:textId="77777777" w:rsidR="008E0F71" w:rsidRPr="008E0F71" w:rsidRDefault="008E0F71" w:rsidP="00503239">
            <w:pPr>
              <w:rPr>
                <w:rFonts w:ascii="Arial" w:hAnsi="Arial" w:cs="Arial"/>
                <w:color w:val="595959" w:themeColor="text1" w:themeTint="A6"/>
              </w:rPr>
            </w:pPr>
            <w:r w:rsidRPr="008E0F71">
              <w:rPr>
                <w:rFonts w:ascii="Arial" w:hAnsi="Arial" w:cs="Arial"/>
                <w:color w:val="595959" w:themeColor="text1" w:themeTint="A6"/>
              </w:rPr>
              <w:t>Importantly:</w:t>
            </w:r>
          </w:p>
          <w:p w14:paraId="1C0425F3" w14:textId="77777777" w:rsidR="008E0F71" w:rsidRPr="008E0F71" w:rsidRDefault="008E0F71" w:rsidP="00503239">
            <w:pPr>
              <w:pStyle w:val="ListParagraph"/>
              <w:numPr>
                <w:ilvl w:val="0"/>
                <w:numId w:val="7"/>
              </w:numPr>
              <w:rPr>
                <w:rFonts w:ascii="Arial" w:hAnsi="Arial" w:cs="Arial"/>
                <w:color w:val="595959" w:themeColor="text1" w:themeTint="A6"/>
              </w:rPr>
            </w:pPr>
            <w:r w:rsidRPr="008E0F71">
              <w:rPr>
                <w:rFonts w:ascii="Arial" w:hAnsi="Arial" w:cs="Arial"/>
                <w:color w:val="595959" w:themeColor="text1" w:themeTint="A6"/>
              </w:rPr>
              <w:t>The ADR Convenor should conduct an intake which includes an explanation of the process.</w:t>
            </w:r>
          </w:p>
          <w:p w14:paraId="66309B7D" w14:textId="77777777" w:rsidR="008E0F71" w:rsidRPr="008E0F71" w:rsidRDefault="008E0F71" w:rsidP="00503239">
            <w:pPr>
              <w:pStyle w:val="ListParagraph"/>
              <w:numPr>
                <w:ilvl w:val="0"/>
                <w:numId w:val="7"/>
              </w:numPr>
              <w:rPr>
                <w:rFonts w:ascii="Arial" w:hAnsi="Arial" w:cs="Arial"/>
                <w:color w:val="595959" w:themeColor="text1" w:themeTint="A6"/>
              </w:rPr>
            </w:pPr>
            <w:r w:rsidRPr="008E0F71">
              <w:rPr>
                <w:rFonts w:ascii="Arial" w:hAnsi="Arial" w:cs="Arial"/>
                <w:color w:val="595959" w:themeColor="text1" w:themeTint="A6"/>
              </w:rPr>
              <w:t>The ADR Convenor should clearly explain the fees involved in the mediation, and obtain the parties’ agreement as to who will pay what share.</w:t>
            </w:r>
          </w:p>
          <w:p w14:paraId="71C9FDCC" w14:textId="77777777" w:rsidR="008E0F71" w:rsidRPr="008E0F71" w:rsidRDefault="008E0F71" w:rsidP="00503239">
            <w:pPr>
              <w:pStyle w:val="ListParagraph"/>
              <w:numPr>
                <w:ilvl w:val="0"/>
                <w:numId w:val="7"/>
              </w:numPr>
              <w:rPr>
                <w:rFonts w:ascii="Arial" w:hAnsi="Arial" w:cs="Arial"/>
                <w:color w:val="595959" w:themeColor="text1" w:themeTint="A6"/>
              </w:rPr>
            </w:pPr>
            <w:r w:rsidRPr="008E0F71">
              <w:rPr>
                <w:rFonts w:ascii="Arial" w:hAnsi="Arial" w:cs="Arial"/>
                <w:color w:val="595959" w:themeColor="text1" w:themeTint="A6"/>
              </w:rPr>
              <w:t>The fees charged cannot be based on the success of the mediation.</w:t>
            </w:r>
          </w:p>
          <w:p w14:paraId="6D1A70D2" w14:textId="77777777" w:rsidR="008E0F71" w:rsidRPr="008E0F71" w:rsidRDefault="008E0F71" w:rsidP="00503239">
            <w:pPr>
              <w:pStyle w:val="ListParagraph"/>
              <w:numPr>
                <w:ilvl w:val="0"/>
                <w:numId w:val="7"/>
              </w:numPr>
              <w:rPr>
                <w:rFonts w:ascii="Arial" w:hAnsi="Arial" w:cs="Arial"/>
                <w:color w:val="595959" w:themeColor="text1" w:themeTint="A6"/>
              </w:rPr>
            </w:pPr>
            <w:r w:rsidRPr="008E0F71">
              <w:rPr>
                <w:rFonts w:ascii="Arial" w:hAnsi="Arial" w:cs="Arial"/>
                <w:color w:val="595959" w:themeColor="text1" w:themeTint="A6"/>
              </w:rPr>
              <w:t>The ADR Convenor will act ethically and must be impartial.</w:t>
            </w:r>
          </w:p>
          <w:p w14:paraId="2A670FEB" w14:textId="77777777" w:rsidR="008E0F71" w:rsidRPr="008E0F71" w:rsidRDefault="008E0F71" w:rsidP="00503239">
            <w:pPr>
              <w:pStyle w:val="ListParagraph"/>
              <w:numPr>
                <w:ilvl w:val="0"/>
                <w:numId w:val="7"/>
              </w:numPr>
              <w:rPr>
                <w:rFonts w:ascii="Arial" w:hAnsi="Arial" w:cs="Arial"/>
                <w:color w:val="595959" w:themeColor="text1" w:themeTint="A6"/>
              </w:rPr>
            </w:pPr>
            <w:r w:rsidRPr="008E0F71">
              <w:rPr>
                <w:rFonts w:ascii="Arial" w:hAnsi="Arial" w:cs="Arial"/>
                <w:color w:val="595959" w:themeColor="text1" w:themeTint="A6"/>
              </w:rPr>
              <w:t>The ADR process is confidential.</w:t>
            </w:r>
          </w:p>
          <w:p w14:paraId="4EDA65F0" w14:textId="77777777" w:rsidR="008E0F71" w:rsidRPr="008E0F71" w:rsidRDefault="008E0F71" w:rsidP="00503239">
            <w:pPr>
              <w:pStyle w:val="ListParagraph"/>
              <w:numPr>
                <w:ilvl w:val="0"/>
                <w:numId w:val="7"/>
              </w:numPr>
              <w:rPr>
                <w:rFonts w:ascii="Arial" w:hAnsi="Arial" w:cs="Arial"/>
                <w:color w:val="595959" w:themeColor="text1" w:themeTint="A6"/>
              </w:rPr>
            </w:pPr>
            <w:r w:rsidRPr="008E0F71">
              <w:rPr>
                <w:rFonts w:ascii="Arial" w:hAnsi="Arial" w:cs="Arial"/>
                <w:color w:val="595959" w:themeColor="text1" w:themeTint="A6"/>
              </w:rPr>
              <w:t>The ADR Convenor must respect and promote the parties’ relationship with professional advisers, where those advisers complement the ADR Convenor’s mediation practice.</w:t>
            </w:r>
          </w:p>
          <w:p w14:paraId="2B85918A" w14:textId="77777777" w:rsidR="008E0F71" w:rsidRPr="008E0F71" w:rsidRDefault="008E0F71" w:rsidP="00503239">
            <w:pPr>
              <w:pStyle w:val="ListParagraph"/>
              <w:numPr>
                <w:ilvl w:val="0"/>
                <w:numId w:val="7"/>
              </w:numPr>
              <w:rPr>
                <w:rFonts w:ascii="Arial" w:hAnsi="Arial" w:cs="Arial"/>
                <w:color w:val="595959" w:themeColor="text1" w:themeTint="A6"/>
              </w:rPr>
            </w:pPr>
            <w:r w:rsidRPr="008E0F71">
              <w:rPr>
                <w:rFonts w:ascii="Arial" w:hAnsi="Arial" w:cs="Arial"/>
                <w:color w:val="595959" w:themeColor="text1" w:themeTint="A6"/>
              </w:rPr>
              <w:t>The ADR Convenor must conduct the mediation process in a way that is procedurally fair.</w:t>
            </w:r>
          </w:p>
          <w:p w14:paraId="3E2D1D72" w14:textId="77777777" w:rsidR="008E0F71" w:rsidRPr="008E0F71" w:rsidRDefault="008E0F71" w:rsidP="00503239">
            <w:pPr>
              <w:pStyle w:val="ListParagraph"/>
              <w:numPr>
                <w:ilvl w:val="0"/>
                <w:numId w:val="7"/>
              </w:numPr>
              <w:rPr>
                <w:rFonts w:ascii="Arial" w:hAnsi="Arial" w:cs="Arial"/>
                <w:color w:val="595959" w:themeColor="text1" w:themeTint="A6"/>
              </w:rPr>
            </w:pPr>
            <w:r w:rsidRPr="008E0F71">
              <w:rPr>
                <w:rFonts w:ascii="Arial" w:hAnsi="Arial" w:cs="Arial"/>
                <w:color w:val="595959" w:themeColor="text1" w:themeTint="A6"/>
              </w:rPr>
              <w:t>The ADR Convenor has no advisory or determinative role in the dispute unless the ADR Convenor:</w:t>
            </w:r>
          </w:p>
          <w:p w14:paraId="63CF6EBC" w14:textId="77777777" w:rsidR="008E0F71" w:rsidRPr="008E0F71" w:rsidRDefault="008E0F71" w:rsidP="00503239">
            <w:pPr>
              <w:pStyle w:val="ListParagraph"/>
              <w:numPr>
                <w:ilvl w:val="1"/>
                <w:numId w:val="8"/>
              </w:numPr>
              <w:rPr>
                <w:rFonts w:ascii="Arial" w:hAnsi="Arial" w:cs="Arial"/>
                <w:color w:val="595959" w:themeColor="text1" w:themeTint="A6"/>
              </w:rPr>
            </w:pPr>
            <w:r w:rsidRPr="008E0F71">
              <w:rPr>
                <w:rFonts w:ascii="Arial" w:hAnsi="Arial" w:cs="Arial"/>
                <w:color w:val="595959" w:themeColor="text1" w:themeTint="A6"/>
              </w:rPr>
              <w:t>has expertise in the subject matter of the dispute; and</w:t>
            </w:r>
          </w:p>
          <w:p w14:paraId="27D817B6" w14:textId="77777777" w:rsidR="008E0F71" w:rsidRPr="008E0F71" w:rsidRDefault="008E0F71" w:rsidP="00503239">
            <w:pPr>
              <w:pStyle w:val="ListParagraph"/>
              <w:numPr>
                <w:ilvl w:val="1"/>
                <w:numId w:val="8"/>
              </w:numPr>
              <w:rPr>
                <w:rFonts w:ascii="Arial" w:hAnsi="Arial" w:cs="Arial"/>
                <w:color w:val="595959" w:themeColor="text1" w:themeTint="A6"/>
                <w:sz w:val="24"/>
              </w:rPr>
            </w:pPr>
            <w:r w:rsidRPr="008E0F71">
              <w:rPr>
                <w:rFonts w:ascii="Arial" w:hAnsi="Arial" w:cs="Arial"/>
                <w:color w:val="595959" w:themeColor="text1" w:themeTint="A6"/>
              </w:rPr>
              <w:t>has the parties’ prior written consent to provide an advisory or determinative role.</w:t>
            </w:r>
          </w:p>
        </w:tc>
      </w:tr>
    </w:tbl>
    <w:p w14:paraId="65E4931E" w14:textId="77777777" w:rsidR="008E0F71" w:rsidRDefault="008E0F71" w:rsidP="008E0F71">
      <w:pPr>
        <w:spacing w:after="0" w:line="240" w:lineRule="auto"/>
        <w:rPr>
          <w:rFonts w:ascii="Arial" w:hAnsi="Arial" w:cs="Arial"/>
          <w:sz w:val="24"/>
        </w:rPr>
      </w:pPr>
    </w:p>
    <w:p w14:paraId="1B4A237B" w14:textId="769278F4" w:rsidR="00383066" w:rsidRDefault="00383066">
      <w:pPr>
        <w:rPr>
          <w:rFonts w:ascii="Arial" w:hAnsi="Arial" w:cs="Arial"/>
          <w:sz w:val="24"/>
        </w:rPr>
      </w:pPr>
      <w:r>
        <w:rPr>
          <w:rFonts w:ascii="Arial" w:hAnsi="Arial" w:cs="Arial"/>
          <w:sz w:val="24"/>
        </w:rPr>
        <w:br w:type="page"/>
      </w:r>
    </w:p>
    <w:p w14:paraId="6C371775" w14:textId="77777777" w:rsidR="008E0F71" w:rsidRDefault="008E0F71" w:rsidP="008E0F71">
      <w:pPr>
        <w:spacing w:after="0" w:line="240" w:lineRule="auto"/>
        <w:rPr>
          <w:rFonts w:ascii="Arial" w:hAnsi="Arial" w:cs="Arial"/>
          <w:sz w:val="24"/>
        </w:rPr>
      </w:pPr>
    </w:p>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10456"/>
      </w:tblGrid>
      <w:tr w:rsidR="008E0F71" w14:paraId="5D2F8C66" w14:textId="77777777" w:rsidTr="00383066">
        <w:trPr>
          <w:trHeight w:val="414"/>
          <w:tblHeader/>
        </w:trPr>
        <w:tc>
          <w:tcPr>
            <w:tcW w:w="10456" w:type="dxa"/>
            <w:shd w:val="clear" w:color="auto" w:fill="ECAF9C"/>
            <w:vAlign w:val="center"/>
          </w:tcPr>
          <w:p w14:paraId="063FEB39" w14:textId="538E7627" w:rsidR="008E0F71" w:rsidRPr="00684A68" w:rsidRDefault="00B35FD9" w:rsidP="00503239">
            <w:pPr>
              <w:rPr>
                <w:rFonts w:ascii="Arial" w:hAnsi="Arial" w:cs="Arial"/>
                <w:b/>
                <w:sz w:val="24"/>
              </w:rPr>
            </w:pPr>
            <w:r>
              <w:rPr>
                <w:rFonts w:ascii="Arial" w:hAnsi="Arial" w:cs="Arial"/>
                <w:b/>
                <w:sz w:val="24"/>
              </w:rPr>
              <w:t>COMPLAINTS PROCEDURE</w:t>
            </w:r>
          </w:p>
        </w:tc>
      </w:tr>
      <w:tr w:rsidR="008E0F71" w14:paraId="3515186A" w14:textId="77777777" w:rsidTr="00850E22">
        <w:trPr>
          <w:trHeight w:val="2452"/>
          <w:tblHeader/>
        </w:trPr>
        <w:tc>
          <w:tcPr>
            <w:tcW w:w="10456" w:type="dxa"/>
            <w:vAlign w:val="center"/>
          </w:tcPr>
          <w:p w14:paraId="042A02B8" w14:textId="77777777" w:rsidR="008E0F71" w:rsidRPr="008E0F71" w:rsidRDefault="008E0F71" w:rsidP="00503239">
            <w:pPr>
              <w:rPr>
                <w:rFonts w:ascii="Arial" w:hAnsi="Arial" w:cs="Arial"/>
                <w:color w:val="595959" w:themeColor="text1" w:themeTint="A6"/>
              </w:rPr>
            </w:pPr>
            <w:r w:rsidRPr="008E0F71">
              <w:rPr>
                <w:rFonts w:ascii="Arial" w:hAnsi="Arial" w:cs="Arial"/>
                <w:color w:val="595959" w:themeColor="text1" w:themeTint="A6"/>
              </w:rPr>
              <w:t xml:space="preserve">Anyone wishing to complain about the conduct of an ADR Convenor should complete the </w:t>
            </w:r>
            <w:r w:rsidRPr="008E0F71">
              <w:rPr>
                <w:rFonts w:ascii="Arial" w:hAnsi="Arial" w:cs="Arial"/>
                <w:b/>
                <w:color w:val="595959" w:themeColor="text1" w:themeTint="A6"/>
              </w:rPr>
              <w:t>ADR Convenor Complaint form</w:t>
            </w:r>
            <w:r w:rsidRPr="008E0F71">
              <w:rPr>
                <w:rFonts w:ascii="Arial" w:hAnsi="Arial" w:cs="Arial"/>
                <w:color w:val="595959" w:themeColor="text1" w:themeTint="A6"/>
              </w:rPr>
              <w:t xml:space="preserve"> and submit it to the Principal Registrar via email </w:t>
            </w:r>
            <w:hyperlink r:id="rId13" w:history="1">
              <w:r w:rsidRPr="008E0F71">
                <w:rPr>
                  <w:rStyle w:val="Hyperlink"/>
                  <w:rFonts w:ascii="Arial" w:hAnsi="Arial" w:cs="Arial"/>
                </w:rPr>
                <w:t>ADRPanel.Landcourt@justice.qld.au</w:t>
              </w:r>
            </w:hyperlink>
            <w:r>
              <w:rPr>
                <w:rFonts w:ascii="Arial" w:hAnsi="Arial" w:cs="Arial"/>
                <w:sz w:val="24"/>
              </w:rPr>
              <w:t xml:space="preserve"> </w:t>
            </w:r>
            <w:r w:rsidRPr="008E0F71">
              <w:rPr>
                <w:rFonts w:ascii="Arial" w:hAnsi="Arial" w:cs="Arial"/>
                <w:color w:val="595959" w:themeColor="text1" w:themeTint="A6"/>
              </w:rPr>
              <w:t xml:space="preserve">. The Principal Registrar will first make sure the complaint is about the conduct of an ADR Convenor and not about the result of the case. </w:t>
            </w:r>
          </w:p>
          <w:p w14:paraId="5AB70244" w14:textId="77777777" w:rsidR="008E0F71" w:rsidRPr="008E0F71" w:rsidRDefault="008E0F71" w:rsidP="00503239">
            <w:pPr>
              <w:rPr>
                <w:rFonts w:ascii="Arial" w:hAnsi="Arial" w:cs="Arial"/>
                <w:color w:val="595959" w:themeColor="text1" w:themeTint="A6"/>
              </w:rPr>
            </w:pPr>
          </w:p>
          <w:p w14:paraId="39DED819" w14:textId="77777777" w:rsidR="008E0F71" w:rsidRPr="00684A68" w:rsidRDefault="008E0F71" w:rsidP="00503239">
            <w:pPr>
              <w:rPr>
                <w:rFonts w:ascii="Arial" w:hAnsi="Arial" w:cs="Arial"/>
                <w:sz w:val="24"/>
              </w:rPr>
            </w:pPr>
            <w:r w:rsidRPr="008E0F71">
              <w:rPr>
                <w:rFonts w:ascii="Arial" w:hAnsi="Arial" w:cs="Arial"/>
                <w:color w:val="595959" w:themeColor="text1" w:themeTint="A6"/>
              </w:rPr>
              <w:t>If the Principal Registrar considers the complaint is about the conduct of an ADR Convenor, the Principal Registrar will refer the complaint to the President who will then consider whether, on the facts, the complaint has substance and whether to invite the ADR Convenor concerned an opportunity to respond.</w:t>
            </w:r>
          </w:p>
        </w:tc>
      </w:tr>
    </w:tbl>
    <w:p w14:paraId="0556727A" w14:textId="77777777" w:rsidR="008E0F71" w:rsidRDefault="008E0F71" w:rsidP="008E0F71">
      <w:pPr>
        <w:spacing w:after="0" w:line="240" w:lineRule="auto"/>
        <w:rPr>
          <w:rFonts w:ascii="Arial" w:hAnsi="Arial" w:cs="Arial"/>
          <w:sz w:val="24"/>
        </w:rPr>
      </w:pPr>
    </w:p>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10456"/>
      </w:tblGrid>
      <w:tr w:rsidR="008E0F71" w14:paraId="2122447D" w14:textId="77777777" w:rsidTr="00383066">
        <w:trPr>
          <w:trHeight w:val="414"/>
          <w:tblHeader/>
        </w:trPr>
        <w:tc>
          <w:tcPr>
            <w:tcW w:w="10456" w:type="dxa"/>
            <w:shd w:val="clear" w:color="auto" w:fill="ECAF9C"/>
            <w:vAlign w:val="center"/>
          </w:tcPr>
          <w:p w14:paraId="60726F3C" w14:textId="08EED1E5" w:rsidR="008E0F71" w:rsidRPr="00684A68" w:rsidRDefault="00B35FD9" w:rsidP="00503239">
            <w:pPr>
              <w:rPr>
                <w:rFonts w:ascii="Arial" w:hAnsi="Arial" w:cs="Arial"/>
                <w:b/>
                <w:sz w:val="24"/>
              </w:rPr>
            </w:pPr>
            <w:r>
              <w:rPr>
                <w:rFonts w:ascii="Arial" w:hAnsi="Arial" w:cs="Arial"/>
                <w:b/>
                <w:sz w:val="24"/>
              </w:rPr>
              <w:t>COMPLAINTS PROCESS</w:t>
            </w:r>
          </w:p>
        </w:tc>
      </w:tr>
      <w:tr w:rsidR="008E0F71" w14:paraId="2EA41222" w14:textId="77777777" w:rsidTr="00850E22">
        <w:trPr>
          <w:trHeight w:val="1548"/>
          <w:tblHeader/>
        </w:trPr>
        <w:tc>
          <w:tcPr>
            <w:tcW w:w="10456" w:type="dxa"/>
            <w:vAlign w:val="center"/>
          </w:tcPr>
          <w:p w14:paraId="3AAA3445" w14:textId="77777777" w:rsidR="008E0F71" w:rsidRPr="008E0F71" w:rsidRDefault="008E0F71" w:rsidP="00503239">
            <w:pPr>
              <w:rPr>
                <w:rFonts w:ascii="Arial" w:hAnsi="Arial" w:cs="Arial"/>
                <w:sz w:val="24"/>
              </w:rPr>
            </w:pPr>
            <w:r w:rsidRPr="008E0F71">
              <w:rPr>
                <w:rFonts w:ascii="Arial" w:hAnsi="Arial" w:cs="Arial"/>
                <w:color w:val="595959" w:themeColor="text1" w:themeTint="A6"/>
              </w:rPr>
              <w:t>The Principal Registrar will, generally, provide a formal acknowledgement of receipt of your complaint within seven (7) working days of receipt of your complaint. A considered response by the President, but provided by the Principal Registrar, will ordinarily be forwarded within 20 working days of receipt of your complaint. If it is not possible to respond within that time a letter will be sent outlining the reason for the delay.</w:t>
            </w:r>
          </w:p>
        </w:tc>
      </w:tr>
    </w:tbl>
    <w:p w14:paraId="67587EBC" w14:textId="77777777" w:rsidR="008E0F71" w:rsidRDefault="008E0F71" w:rsidP="008E0F71">
      <w:pPr>
        <w:spacing w:after="0" w:line="240" w:lineRule="auto"/>
        <w:rPr>
          <w:rFonts w:ascii="Arial" w:hAnsi="Arial" w:cs="Arial"/>
          <w:sz w:val="24"/>
        </w:rPr>
      </w:pPr>
    </w:p>
    <w:sectPr w:rsidR="008E0F71" w:rsidSect="004D59A8">
      <w:headerReference w:type="default" r:id="rId14"/>
      <w:footerReference w:type="default" r:id="rId15"/>
      <w:pgSz w:w="11906" w:h="16838"/>
      <w:pgMar w:top="720" w:right="720" w:bottom="720" w:left="720" w:header="124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414A0E" w14:textId="77777777" w:rsidR="00305430" w:rsidRDefault="00305430" w:rsidP="00497AAC">
      <w:pPr>
        <w:spacing w:after="0" w:line="240" w:lineRule="auto"/>
      </w:pPr>
      <w:r>
        <w:separator/>
      </w:r>
    </w:p>
  </w:endnote>
  <w:endnote w:type="continuationSeparator" w:id="0">
    <w:p w14:paraId="254C2D5C" w14:textId="77777777" w:rsidR="00305430" w:rsidRDefault="00305430" w:rsidP="00497A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84DA92" w14:textId="0C1B1D8A" w:rsidR="003D792E" w:rsidRDefault="00EB594F" w:rsidP="004B6050">
    <w:pPr>
      <w:pStyle w:val="Footer"/>
      <w:rPr>
        <w:rFonts w:ascii="Arial" w:hAnsi="Arial" w:cs="Arial"/>
      </w:rPr>
    </w:pPr>
    <w:r>
      <w:rPr>
        <w:rFonts w:ascii="Arial" w:hAnsi="Arial" w:cs="Arial"/>
      </w:rPr>
      <w:t>Contact the Land Court of Queensland</w:t>
    </w:r>
  </w:p>
  <w:p w14:paraId="59F02D26" w14:textId="70933C3C" w:rsidR="00261F29" w:rsidRDefault="003D792E" w:rsidP="004B6050">
    <w:pPr>
      <w:pStyle w:val="Footer"/>
    </w:pPr>
    <w:r w:rsidRPr="004B6050">
      <w:rPr>
        <w:rFonts w:ascii="Arial" w:hAnsi="Arial" w:cs="Arial"/>
        <w:b/>
      </w:rPr>
      <w:t>P:</w:t>
    </w:r>
    <w:r>
      <w:rPr>
        <w:rFonts w:ascii="Arial" w:hAnsi="Arial" w:cs="Arial"/>
      </w:rPr>
      <w:t xml:space="preserve"> (07) </w:t>
    </w:r>
    <w:r w:rsidR="003F3FF8">
      <w:rPr>
        <w:rFonts w:ascii="Arial" w:hAnsi="Arial" w:cs="Arial"/>
      </w:rPr>
      <w:t>3738 7199</w:t>
    </w:r>
    <w:r>
      <w:rPr>
        <w:rFonts w:ascii="Arial" w:hAnsi="Arial" w:cs="Arial"/>
      </w:rPr>
      <w:t xml:space="preserve">, </w:t>
    </w:r>
    <w:r w:rsidRPr="004B6050">
      <w:rPr>
        <w:rFonts w:ascii="Arial" w:hAnsi="Arial" w:cs="Arial"/>
        <w:b/>
      </w:rPr>
      <w:t>E:</w:t>
    </w:r>
    <w:r>
      <w:rPr>
        <w:rFonts w:ascii="Arial" w:hAnsi="Arial" w:cs="Arial"/>
      </w:rPr>
      <w:t xml:space="preserve"> </w:t>
    </w:r>
    <w:hyperlink r:id="rId1" w:history="1">
      <w:r w:rsidR="00D51E83" w:rsidRPr="008B312F">
        <w:rPr>
          <w:rStyle w:val="Hyperlink"/>
          <w:rFonts w:ascii="Arial" w:hAnsi="Arial" w:cs="Arial"/>
        </w:rPr>
        <w:t>landcourt@justice.qld.gov.au</w:t>
      </w:r>
    </w:hyperlink>
    <w:r w:rsidR="00D51E83">
      <w:rPr>
        <w:rFonts w:ascii="Arial" w:hAnsi="Arial" w:cs="Arial"/>
      </w:rPr>
      <w:tab/>
    </w:r>
    <w:r w:rsidR="008C24E6">
      <w:rPr>
        <w:rFonts w:ascii="Arial" w:hAnsi="Arial" w:cs="Arial"/>
      </w:rPr>
      <w:t xml:space="preserve">ADR </w:t>
    </w:r>
    <w:r w:rsidR="008C24E6" w:rsidRPr="008C24E6">
      <w:rPr>
        <w:rFonts w:ascii="Arial" w:hAnsi="Arial" w:cs="Arial"/>
      </w:rPr>
      <w:t>Complaints Policy</w:t>
    </w:r>
    <w:r w:rsidR="008C24E6" w:rsidRPr="008C24E6">
      <w:rPr>
        <w:rFonts w:ascii="Arial" w:hAnsi="Arial" w:cs="Arial"/>
        <w:sz w:val="20"/>
      </w:rPr>
      <w:t xml:space="preserve"> </w:t>
    </w:r>
    <w:r>
      <w:rPr>
        <w:rFonts w:ascii="Arial" w:hAnsi="Arial" w:cs="Arial"/>
      </w:rPr>
      <w:t>–</w:t>
    </w:r>
    <w:r w:rsidR="00CE2314">
      <w:rPr>
        <w:rFonts w:ascii="Arial" w:hAnsi="Arial" w:cs="Arial"/>
      </w:rPr>
      <w:t xml:space="preserve"> </w:t>
    </w:r>
    <w:r w:rsidRPr="00737858">
      <w:rPr>
        <w:rFonts w:ascii="Arial" w:hAnsi="Arial" w:cs="Arial"/>
      </w:rPr>
      <w:t xml:space="preserve">Page </w:t>
    </w:r>
    <w:r w:rsidRPr="00737858">
      <w:rPr>
        <w:rFonts w:ascii="Arial" w:hAnsi="Arial" w:cs="Arial"/>
      </w:rPr>
      <w:fldChar w:fldCharType="begin"/>
    </w:r>
    <w:r w:rsidRPr="00737858">
      <w:rPr>
        <w:rFonts w:ascii="Arial" w:hAnsi="Arial" w:cs="Arial"/>
      </w:rPr>
      <w:instrText xml:space="preserve"> PAGE   \* MERGEFORMAT </w:instrText>
    </w:r>
    <w:r w:rsidRPr="00737858">
      <w:rPr>
        <w:rFonts w:ascii="Arial" w:hAnsi="Arial" w:cs="Arial"/>
      </w:rPr>
      <w:fldChar w:fldCharType="separate"/>
    </w:r>
    <w:r w:rsidR="00A22A84">
      <w:rPr>
        <w:rFonts w:ascii="Arial" w:hAnsi="Arial" w:cs="Arial"/>
        <w:noProof/>
      </w:rPr>
      <w:t>3</w:t>
    </w:r>
    <w:r w:rsidRPr="00737858">
      <w:rPr>
        <w:rFonts w:ascii="Arial" w:hAnsi="Arial"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80D4CE" w14:textId="77777777" w:rsidR="00305430" w:rsidRDefault="00305430" w:rsidP="00497AAC">
      <w:pPr>
        <w:spacing w:after="0" w:line="240" w:lineRule="auto"/>
      </w:pPr>
      <w:r>
        <w:separator/>
      </w:r>
    </w:p>
  </w:footnote>
  <w:footnote w:type="continuationSeparator" w:id="0">
    <w:p w14:paraId="1B849036" w14:textId="77777777" w:rsidR="00305430" w:rsidRDefault="00305430" w:rsidP="00497A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7DBBDE" w14:textId="49E063E8" w:rsidR="00305430" w:rsidRDefault="000461C1">
    <w:pPr>
      <w:pStyle w:val="Header"/>
    </w:pPr>
    <w:r>
      <w:rPr>
        <w:noProof/>
        <w:lang w:eastAsia="en-AU"/>
      </w:rPr>
      <w:drawing>
        <wp:anchor distT="0" distB="0" distL="114300" distR="114300" simplePos="0" relativeHeight="251663359" behindDoc="0" locked="0" layoutInCell="1" allowOverlap="1" wp14:anchorId="55AD726D" wp14:editId="19148E8B">
          <wp:simplePos x="0" y="0"/>
          <wp:positionH relativeFrom="column">
            <wp:posOffset>-8890</wp:posOffset>
          </wp:positionH>
          <wp:positionV relativeFrom="paragraph">
            <wp:posOffset>-626054</wp:posOffset>
          </wp:positionV>
          <wp:extent cx="6645910" cy="796925"/>
          <wp:effectExtent l="0" t="0" r="254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ader.PNG"/>
                  <pic:cNvPicPr/>
                </pic:nvPicPr>
                <pic:blipFill>
                  <a:blip r:embed="rId1">
                    <a:extLst>
                      <a:ext uri="{28A0092B-C50C-407E-A947-70E740481C1C}">
                        <a14:useLocalDpi xmlns:a14="http://schemas.microsoft.com/office/drawing/2010/main" val="0"/>
                      </a:ext>
                    </a:extLst>
                  </a:blip>
                  <a:stretch>
                    <a:fillRect/>
                  </a:stretch>
                </pic:blipFill>
                <pic:spPr>
                  <a:xfrm>
                    <a:off x="0" y="0"/>
                    <a:ext cx="6645910" cy="796925"/>
                  </a:xfrm>
                  <a:prstGeom prst="rect">
                    <a:avLst/>
                  </a:prstGeom>
                </pic:spPr>
              </pic:pic>
            </a:graphicData>
          </a:graphic>
          <wp14:sizeRelH relativeFrom="page">
            <wp14:pctWidth>0</wp14:pctWidth>
          </wp14:sizeRelH>
          <wp14:sizeRelV relativeFrom="page">
            <wp14:pctHeight>0</wp14:pctHeight>
          </wp14:sizeRelV>
        </wp:anchor>
      </w:drawing>
    </w:r>
    <w:r w:rsidR="004D59A8">
      <w:rPr>
        <w:noProof/>
        <w:lang w:eastAsia="en-AU"/>
      </w:rPr>
      <w:drawing>
        <wp:anchor distT="0" distB="0" distL="114300" distR="114300" simplePos="0" relativeHeight="251668480" behindDoc="1" locked="0" layoutInCell="1" allowOverlap="1" wp14:anchorId="5764BC96" wp14:editId="7432E122">
          <wp:simplePos x="0" y="0"/>
          <wp:positionH relativeFrom="column">
            <wp:posOffset>3976</wp:posOffset>
          </wp:positionH>
          <wp:positionV relativeFrom="paragraph">
            <wp:posOffset>-632819</wp:posOffset>
          </wp:positionV>
          <wp:extent cx="6626017" cy="789857"/>
          <wp:effectExtent l="0" t="0" r="381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6888319" cy="821125"/>
                  </a:xfrm>
                  <a:prstGeom prst="rect">
                    <a:avLst/>
                  </a:prstGeom>
                </pic:spPr>
              </pic:pic>
            </a:graphicData>
          </a:graphic>
          <wp14:sizeRelH relativeFrom="page">
            <wp14:pctWidth>0</wp14:pctWidth>
          </wp14:sizeRelH>
          <wp14:sizeRelV relativeFrom="page">
            <wp14:pctHeight>0</wp14:pctHeight>
          </wp14:sizeRelV>
        </wp:anchor>
      </w:drawing>
    </w:r>
    <w:r w:rsidR="00B14322">
      <w:rPr>
        <w:noProof/>
      </w:rPr>
      <w:pict w14:anchorId="34ED82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margin-left:9pt;margin-top:-46.8pt;width:2in;height:48.75pt;z-index:251664384;mso-position-horizontal-relative:text;mso-position-vertical-relative:text;mso-width-relative:page;mso-height-relative:page">
          <v:imagedata r:id="rId3" o:title="Land Court of Queensland Logo-LANDSCAPE-REV"/>
        </v:shape>
      </w:pict>
    </w:r>
    <w:r w:rsidR="004D59A8" w:rsidDel="004D59A8">
      <w:rPr>
        <w:noProof/>
        <w:lang w:eastAsia="en-AU"/>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E92D86"/>
    <w:multiLevelType w:val="hybridMultilevel"/>
    <w:tmpl w:val="E20A34DA"/>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A85517B"/>
    <w:multiLevelType w:val="hybridMultilevel"/>
    <w:tmpl w:val="27F67BD0"/>
    <w:lvl w:ilvl="0" w:tplc="361090B2">
      <w:start w:val="1"/>
      <w:numFmt w:val="decimal"/>
      <w:lvlText w:val="%1."/>
      <w:lvlJc w:val="left"/>
      <w:pPr>
        <w:ind w:left="720" w:hanging="360"/>
      </w:pPr>
      <w:rPr>
        <w:rFonts w:hint="default"/>
        <w:b/>
        <w:color w:val="595959" w:themeColor="text1" w:themeTint="A6"/>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D1859FF"/>
    <w:multiLevelType w:val="hybridMultilevel"/>
    <w:tmpl w:val="A7C6F1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DBE0C32"/>
    <w:multiLevelType w:val="hybridMultilevel"/>
    <w:tmpl w:val="0D7A46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5DC6623"/>
    <w:multiLevelType w:val="hybridMultilevel"/>
    <w:tmpl w:val="A22AD44A"/>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53BE61FE"/>
    <w:multiLevelType w:val="hybridMultilevel"/>
    <w:tmpl w:val="165C29E4"/>
    <w:lvl w:ilvl="0" w:tplc="0C090001">
      <w:start w:val="1"/>
      <w:numFmt w:val="bullet"/>
      <w:lvlText w:val=""/>
      <w:lvlJc w:val="left"/>
      <w:pPr>
        <w:ind w:left="720" w:hanging="360"/>
      </w:pPr>
      <w:rPr>
        <w:rFonts w:ascii="Symbol" w:hAnsi="Symbol" w:hint="default"/>
      </w:rPr>
    </w:lvl>
    <w:lvl w:ilvl="1" w:tplc="0C090005">
      <w:start w:val="1"/>
      <w:numFmt w:val="bullet"/>
      <w:lvlText w:val=""/>
      <w:lvlJc w:val="left"/>
      <w:pPr>
        <w:ind w:left="1440" w:hanging="360"/>
      </w:pPr>
      <w:rPr>
        <w:rFonts w:ascii="Wingdings" w:hAnsi="Wingding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6D7A245A"/>
    <w:multiLevelType w:val="hybridMultilevel"/>
    <w:tmpl w:val="BBBEE934"/>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784300E3"/>
    <w:multiLevelType w:val="hybridMultilevel"/>
    <w:tmpl w:val="5A468DF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4"/>
  </w:num>
  <w:num w:numId="4">
    <w:abstractNumId w:val="1"/>
  </w:num>
  <w:num w:numId="5">
    <w:abstractNumId w:val="2"/>
  </w:num>
  <w:num w:numId="6">
    <w:abstractNumId w:val="3"/>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Qnv0Ff3A3jd/5jPqHJerBVyakwfVh0hKmDWAdSI4/m9yEaFkiLWaNm/T7bPE996PdI9CJ4wJiM8YRTe3GwiaJQ==" w:salt="UOO96fRWR0ePb5ui60oarA=="/>
  <w:defaultTabStop w:val="720"/>
  <w:doNotShadeFormData/>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7AAC"/>
    <w:rsid w:val="00045941"/>
    <w:rsid w:val="000461C1"/>
    <w:rsid w:val="00051817"/>
    <w:rsid w:val="00054EED"/>
    <w:rsid w:val="0005506B"/>
    <w:rsid w:val="00061C03"/>
    <w:rsid w:val="00064F5C"/>
    <w:rsid w:val="000675B6"/>
    <w:rsid w:val="0008047D"/>
    <w:rsid w:val="00085C04"/>
    <w:rsid w:val="000F3C8E"/>
    <w:rsid w:val="000F48C7"/>
    <w:rsid w:val="00100323"/>
    <w:rsid w:val="00100AA3"/>
    <w:rsid w:val="0010486D"/>
    <w:rsid w:val="00111A1F"/>
    <w:rsid w:val="001351DF"/>
    <w:rsid w:val="00143041"/>
    <w:rsid w:val="00143982"/>
    <w:rsid w:val="00150A51"/>
    <w:rsid w:val="00151912"/>
    <w:rsid w:val="001641E0"/>
    <w:rsid w:val="001959DB"/>
    <w:rsid w:val="001D06F8"/>
    <w:rsid w:val="001D1C7A"/>
    <w:rsid w:val="001E0826"/>
    <w:rsid w:val="001E223A"/>
    <w:rsid w:val="001E2D0F"/>
    <w:rsid w:val="001F1B44"/>
    <w:rsid w:val="001F3555"/>
    <w:rsid w:val="00205408"/>
    <w:rsid w:val="00211A39"/>
    <w:rsid w:val="0021732D"/>
    <w:rsid w:val="00221484"/>
    <w:rsid w:val="00225847"/>
    <w:rsid w:val="0023137F"/>
    <w:rsid w:val="0023336C"/>
    <w:rsid w:val="00237A0E"/>
    <w:rsid w:val="00241599"/>
    <w:rsid w:val="0024770C"/>
    <w:rsid w:val="00252F5C"/>
    <w:rsid w:val="00261F29"/>
    <w:rsid w:val="00262DF8"/>
    <w:rsid w:val="002755F8"/>
    <w:rsid w:val="002840F4"/>
    <w:rsid w:val="00285E92"/>
    <w:rsid w:val="002A790F"/>
    <w:rsid w:val="002B010B"/>
    <w:rsid w:val="002D14BC"/>
    <w:rsid w:val="002E0C82"/>
    <w:rsid w:val="002E4F44"/>
    <w:rsid w:val="002F6473"/>
    <w:rsid w:val="00305430"/>
    <w:rsid w:val="003256C5"/>
    <w:rsid w:val="00341CF4"/>
    <w:rsid w:val="00346B1C"/>
    <w:rsid w:val="0035756E"/>
    <w:rsid w:val="003656AB"/>
    <w:rsid w:val="003749C6"/>
    <w:rsid w:val="00383066"/>
    <w:rsid w:val="003920B2"/>
    <w:rsid w:val="00393E0B"/>
    <w:rsid w:val="003949A1"/>
    <w:rsid w:val="00395B00"/>
    <w:rsid w:val="003A4955"/>
    <w:rsid w:val="003B3E2E"/>
    <w:rsid w:val="003B7BBD"/>
    <w:rsid w:val="003D24D0"/>
    <w:rsid w:val="003D5498"/>
    <w:rsid w:val="003D792E"/>
    <w:rsid w:val="003F3FF8"/>
    <w:rsid w:val="003F57D3"/>
    <w:rsid w:val="003F61FC"/>
    <w:rsid w:val="003F6D9E"/>
    <w:rsid w:val="0041536E"/>
    <w:rsid w:val="00426450"/>
    <w:rsid w:val="004329A8"/>
    <w:rsid w:val="004342C5"/>
    <w:rsid w:val="00437ACF"/>
    <w:rsid w:val="00454F86"/>
    <w:rsid w:val="0045706E"/>
    <w:rsid w:val="00461104"/>
    <w:rsid w:val="00462945"/>
    <w:rsid w:val="00462C25"/>
    <w:rsid w:val="00484071"/>
    <w:rsid w:val="00492E1B"/>
    <w:rsid w:val="00494989"/>
    <w:rsid w:val="00497AAC"/>
    <w:rsid w:val="004B6050"/>
    <w:rsid w:val="004C15EB"/>
    <w:rsid w:val="004D2E4F"/>
    <w:rsid w:val="004D43F2"/>
    <w:rsid w:val="004D59A8"/>
    <w:rsid w:val="004D61A3"/>
    <w:rsid w:val="00504CA3"/>
    <w:rsid w:val="00523C80"/>
    <w:rsid w:val="00527ABA"/>
    <w:rsid w:val="005441AE"/>
    <w:rsid w:val="00553952"/>
    <w:rsid w:val="0055492F"/>
    <w:rsid w:val="00564570"/>
    <w:rsid w:val="00576255"/>
    <w:rsid w:val="00577755"/>
    <w:rsid w:val="005831D5"/>
    <w:rsid w:val="005869E1"/>
    <w:rsid w:val="00587DE1"/>
    <w:rsid w:val="00591857"/>
    <w:rsid w:val="00595FD2"/>
    <w:rsid w:val="0059635F"/>
    <w:rsid w:val="005C4EB7"/>
    <w:rsid w:val="005D7CCC"/>
    <w:rsid w:val="0063328D"/>
    <w:rsid w:val="006365C8"/>
    <w:rsid w:val="006650A0"/>
    <w:rsid w:val="006745AF"/>
    <w:rsid w:val="00684E74"/>
    <w:rsid w:val="006866CD"/>
    <w:rsid w:val="006A569D"/>
    <w:rsid w:val="006C4278"/>
    <w:rsid w:val="006C7253"/>
    <w:rsid w:val="006E17DB"/>
    <w:rsid w:val="006E7C9D"/>
    <w:rsid w:val="006F34B4"/>
    <w:rsid w:val="007232AB"/>
    <w:rsid w:val="0072528B"/>
    <w:rsid w:val="007275FB"/>
    <w:rsid w:val="007347BE"/>
    <w:rsid w:val="00737858"/>
    <w:rsid w:val="00755F5C"/>
    <w:rsid w:val="00765A3E"/>
    <w:rsid w:val="0078014D"/>
    <w:rsid w:val="0079257D"/>
    <w:rsid w:val="00792E97"/>
    <w:rsid w:val="007B4AEC"/>
    <w:rsid w:val="007D3BD8"/>
    <w:rsid w:val="007E138B"/>
    <w:rsid w:val="007E1F61"/>
    <w:rsid w:val="008029A7"/>
    <w:rsid w:val="00803262"/>
    <w:rsid w:val="00807EE9"/>
    <w:rsid w:val="00846869"/>
    <w:rsid w:val="00850E22"/>
    <w:rsid w:val="0086442C"/>
    <w:rsid w:val="008858D9"/>
    <w:rsid w:val="00890804"/>
    <w:rsid w:val="008C24E6"/>
    <w:rsid w:val="008C3610"/>
    <w:rsid w:val="008D06E1"/>
    <w:rsid w:val="008D131A"/>
    <w:rsid w:val="008E0F71"/>
    <w:rsid w:val="00905744"/>
    <w:rsid w:val="00912ECB"/>
    <w:rsid w:val="009136F8"/>
    <w:rsid w:val="00914F19"/>
    <w:rsid w:val="00923381"/>
    <w:rsid w:val="009268E7"/>
    <w:rsid w:val="00932240"/>
    <w:rsid w:val="00941DEC"/>
    <w:rsid w:val="00945242"/>
    <w:rsid w:val="00947979"/>
    <w:rsid w:val="0095504F"/>
    <w:rsid w:val="0096538C"/>
    <w:rsid w:val="009703C0"/>
    <w:rsid w:val="009905BE"/>
    <w:rsid w:val="00992C50"/>
    <w:rsid w:val="009A02D0"/>
    <w:rsid w:val="009A41BA"/>
    <w:rsid w:val="009B01F5"/>
    <w:rsid w:val="009B190C"/>
    <w:rsid w:val="009D78E3"/>
    <w:rsid w:val="009E0389"/>
    <w:rsid w:val="00A16B8C"/>
    <w:rsid w:val="00A22A84"/>
    <w:rsid w:val="00A23231"/>
    <w:rsid w:val="00A242C5"/>
    <w:rsid w:val="00A3280B"/>
    <w:rsid w:val="00A4604A"/>
    <w:rsid w:val="00A5108B"/>
    <w:rsid w:val="00A955CE"/>
    <w:rsid w:val="00A95C04"/>
    <w:rsid w:val="00AA3574"/>
    <w:rsid w:val="00AD4D8C"/>
    <w:rsid w:val="00AD6B14"/>
    <w:rsid w:val="00AD7F67"/>
    <w:rsid w:val="00B03C47"/>
    <w:rsid w:val="00B14322"/>
    <w:rsid w:val="00B15825"/>
    <w:rsid w:val="00B2663A"/>
    <w:rsid w:val="00B35061"/>
    <w:rsid w:val="00B35FD9"/>
    <w:rsid w:val="00B5257F"/>
    <w:rsid w:val="00B545B6"/>
    <w:rsid w:val="00B57B1B"/>
    <w:rsid w:val="00B60F35"/>
    <w:rsid w:val="00B80D78"/>
    <w:rsid w:val="00B84EE0"/>
    <w:rsid w:val="00B95730"/>
    <w:rsid w:val="00BC1A21"/>
    <w:rsid w:val="00BC3DB9"/>
    <w:rsid w:val="00BD28CD"/>
    <w:rsid w:val="00BD5EF1"/>
    <w:rsid w:val="00BD6F54"/>
    <w:rsid w:val="00BE2541"/>
    <w:rsid w:val="00BF34A4"/>
    <w:rsid w:val="00C00DBE"/>
    <w:rsid w:val="00C01010"/>
    <w:rsid w:val="00C020F9"/>
    <w:rsid w:val="00C02F96"/>
    <w:rsid w:val="00C21B0C"/>
    <w:rsid w:val="00C23389"/>
    <w:rsid w:val="00C36465"/>
    <w:rsid w:val="00C46EFE"/>
    <w:rsid w:val="00C60256"/>
    <w:rsid w:val="00C607F8"/>
    <w:rsid w:val="00C61974"/>
    <w:rsid w:val="00C65E4A"/>
    <w:rsid w:val="00C72A46"/>
    <w:rsid w:val="00C8383C"/>
    <w:rsid w:val="00C86A5C"/>
    <w:rsid w:val="00CC018E"/>
    <w:rsid w:val="00CD177D"/>
    <w:rsid w:val="00CE2314"/>
    <w:rsid w:val="00CE40E0"/>
    <w:rsid w:val="00D11968"/>
    <w:rsid w:val="00D129E9"/>
    <w:rsid w:val="00D20DD3"/>
    <w:rsid w:val="00D47529"/>
    <w:rsid w:val="00D5071F"/>
    <w:rsid w:val="00D51E83"/>
    <w:rsid w:val="00D7131A"/>
    <w:rsid w:val="00D748D1"/>
    <w:rsid w:val="00D9148A"/>
    <w:rsid w:val="00D965DA"/>
    <w:rsid w:val="00DA7D76"/>
    <w:rsid w:val="00DC6F8D"/>
    <w:rsid w:val="00DE1D1C"/>
    <w:rsid w:val="00DF4944"/>
    <w:rsid w:val="00E15CEC"/>
    <w:rsid w:val="00E21CA4"/>
    <w:rsid w:val="00E3703A"/>
    <w:rsid w:val="00E434DC"/>
    <w:rsid w:val="00E4477E"/>
    <w:rsid w:val="00E47241"/>
    <w:rsid w:val="00E54FE6"/>
    <w:rsid w:val="00E55E82"/>
    <w:rsid w:val="00E57E39"/>
    <w:rsid w:val="00E772B2"/>
    <w:rsid w:val="00E97BC1"/>
    <w:rsid w:val="00EA69FE"/>
    <w:rsid w:val="00EB5260"/>
    <w:rsid w:val="00EB579C"/>
    <w:rsid w:val="00EB594F"/>
    <w:rsid w:val="00EB7D7C"/>
    <w:rsid w:val="00EC0766"/>
    <w:rsid w:val="00EC1064"/>
    <w:rsid w:val="00EC4C1F"/>
    <w:rsid w:val="00ED5E9D"/>
    <w:rsid w:val="00ED7864"/>
    <w:rsid w:val="00EF611F"/>
    <w:rsid w:val="00F11F82"/>
    <w:rsid w:val="00F17C0F"/>
    <w:rsid w:val="00F31D2A"/>
    <w:rsid w:val="00F3272A"/>
    <w:rsid w:val="00F51591"/>
    <w:rsid w:val="00F5768A"/>
    <w:rsid w:val="00F7550E"/>
    <w:rsid w:val="00F814AB"/>
    <w:rsid w:val="00F85E58"/>
    <w:rsid w:val="00F90D07"/>
    <w:rsid w:val="00FA18FB"/>
    <w:rsid w:val="00FA1E39"/>
    <w:rsid w:val="00FB3FC5"/>
    <w:rsid w:val="00FC5CC8"/>
    <w:rsid w:val="00FC7EDF"/>
    <w:rsid w:val="00FD399A"/>
    <w:rsid w:val="00FD5A36"/>
    <w:rsid w:val="00FD6BBA"/>
    <w:rsid w:val="00FE1845"/>
    <w:rsid w:val="00FF579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B4AAE2E"/>
  <w15:chartTrackingRefBased/>
  <w15:docId w15:val="{803ACD16-2303-493C-8C23-800DD9025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7A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97AAC"/>
  </w:style>
  <w:style w:type="paragraph" w:styleId="Footer">
    <w:name w:val="footer"/>
    <w:basedOn w:val="Normal"/>
    <w:link w:val="FooterChar"/>
    <w:uiPriority w:val="99"/>
    <w:unhideWhenUsed/>
    <w:rsid w:val="00497A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97AAC"/>
  </w:style>
  <w:style w:type="table" w:styleId="TableGrid">
    <w:name w:val="Table Grid"/>
    <w:basedOn w:val="TableNormal"/>
    <w:uiPriority w:val="39"/>
    <w:rsid w:val="008C36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B3E2E"/>
    <w:rPr>
      <w:color w:val="808080"/>
    </w:rPr>
  </w:style>
  <w:style w:type="paragraph" w:styleId="ListParagraph">
    <w:name w:val="List Paragraph"/>
    <w:basedOn w:val="Normal"/>
    <w:uiPriority w:val="34"/>
    <w:qFormat/>
    <w:rsid w:val="00EF611F"/>
    <w:pPr>
      <w:ind w:left="720"/>
      <w:contextualSpacing/>
    </w:pPr>
  </w:style>
  <w:style w:type="character" w:customStyle="1" w:styleId="Content">
    <w:name w:val="Content"/>
    <w:basedOn w:val="DefaultParagraphFont"/>
    <w:uiPriority w:val="1"/>
    <w:rsid w:val="00C00DBE"/>
    <w:rPr>
      <w:rFonts w:ascii="Arial" w:hAnsi="Arial"/>
      <w:b w:val="0"/>
      <w:color w:val="auto"/>
      <w:sz w:val="22"/>
    </w:rPr>
  </w:style>
  <w:style w:type="character" w:styleId="Hyperlink">
    <w:name w:val="Hyperlink"/>
    <w:basedOn w:val="DefaultParagraphFont"/>
    <w:uiPriority w:val="99"/>
    <w:unhideWhenUsed/>
    <w:rsid w:val="00792E97"/>
    <w:rPr>
      <w:color w:val="0563C1" w:themeColor="hyperlink"/>
      <w:u w:val="single"/>
    </w:rPr>
  </w:style>
  <w:style w:type="character" w:styleId="FollowedHyperlink">
    <w:name w:val="FollowedHyperlink"/>
    <w:basedOn w:val="DefaultParagraphFont"/>
    <w:uiPriority w:val="99"/>
    <w:semiHidden/>
    <w:unhideWhenUsed/>
    <w:rsid w:val="00564570"/>
    <w:rPr>
      <w:color w:val="954F72" w:themeColor="followedHyperlink"/>
      <w:u w:val="single"/>
    </w:rPr>
  </w:style>
  <w:style w:type="character" w:customStyle="1" w:styleId="Sig1">
    <w:name w:val="Sig1"/>
    <w:basedOn w:val="DefaultParagraphFont"/>
    <w:uiPriority w:val="1"/>
    <w:rsid w:val="00241599"/>
    <w:rPr>
      <w:rFonts w:ascii="Brush Script MT" w:hAnsi="Brush Script MT"/>
      <w:sz w:val="44"/>
    </w:rPr>
  </w:style>
  <w:style w:type="paragraph" w:styleId="BalloonText">
    <w:name w:val="Balloon Text"/>
    <w:basedOn w:val="Normal"/>
    <w:link w:val="BalloonTextChar"/>
    <w:uiPriority w:val="99"/>
    <w:semiHidden/>
    <w:unhideWhenUsed/>
    <w:rsid w:val="00C607F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07F8"/>
    <w:rPr>
      <w:rFonts w:ascii="Segoe UI" w:hAnsi="Segoe UI" w:cs="Segoe UI"/>
      <w:sz w:val="18"/>
      <w:szCs w:val="18"/>
    </w:rPr>
  </w:style>
  <w:style w:type="character" w:styleId="CommentReference">
    <w:name w:val="annotation reference"/>
    <w:basedOn w:val="DefaultParagraphFont"/>
    <w:uiPriority w:val="99"/>
    <w:semiHidden/>
    <w:unhideWhenUsed/>
    <w:rsid w:val="006365C8"/>
    <w:rPr>
      <w:sz w:val="16"/>
      <w:szCs w:val="16"/>
    </w:rPr>
  </w:style>
  <w:style w:type="paragraph" w:styleId="CommentText">
    <w:name w:val="annotation text"/>
    <w:basedOn w:val="Normal"/>
    <w:link w:val="CommentTextChar"/>
    <w:uiPriority w:val="99"/>
    <w:semiHidden/>
    <w:unhideWhenUsed/>
    <w:rsid w:val="006365C8"/>
    <w:pPr>
      <w:spacing w:line="240" w:lineRule="auto"/>
    </w:pPr>
    <w:rPr>
      <w:sz w:val="20"/>
      <w:szCs w:val="20"/>
    </w:rPr>
  </w:style>
  <w:style w:type="character" w:customStyle="1" w:styleId="CommentTextChar">
    <w:name w:val="Comment Text Char"/>
    <w:basedOn w:val="DefaultParagraphFont"/>
    <w:link w:val="CommentText"/>
    <w:uiPriority w:val="99"/>
    <w:semiHidden/>
    <w:rsid w:val="006365C8"/>
    <w:rPr>
      <w:sz w:val="20"/>
      <w:szCs w:val="20"/>
    </w:rPr>
  </w:style>
  <w:style w:type="paragraph" w:styleId="CommentSubject">
    <w:name w:val="annotation subject"/>
    <w:basedOn w:val="CommentText"/>
    <w:next w:val="CommentText"/>
    <w:link w:val="CommentSubjectChar"/>
    <w:uiPriority w:val="99"/>
    <w:semiHidden/>
    <w:unhideWhenUsed/>
    <w:rsid w:val="006365C8"/>
    <w:rPr>
      <w:b/>
      <w:bCs/>
    </w:rPr>
  </w:style>
  <w:style w:type="character" w:customStyle="1" w:styleId="CommentSubjectChar">
    <w:name w:val="Comment Subject Char"/>
    <w:basedOn w:val="CommentTextChar"/>
    <w:link w:val="CommentSubject"/>
    <w:uiPriority w:val="99"/>
    <w:semiHidden/>
    <w:rsid w:val="006365C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DRPanel.Landcourt@justice.qld.a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sb.org.au/themes/msb/assets/documents/national-mediator-accreditation-system-2015.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DRPanel.Landcourt@justice.qld.gov.au"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landcourt@justice.qld.gov.au"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DC4230F876CB4448907EA984CF9E863" ma:contentTypeVersion="12" ma:contentTypeDescription="Create a new document." ma:contentTypeScope="" ma:versionID="32e1366a8ae3c5645de2b1c60a543ce7">
  <xsd:schema xmlns:xsd="http://www.w3.org/2001/XMLSchema" xmlns:xs="http://www.w3.org/2001/XMLSchema" xmlns:p="http://schemas.microsoft.com/office/2006/metadata/properties" xmlns:ns3="5514f1eb-924d-4e1a-af9f-93cdeb31e5e9" xmlns:ns4="ad676129-5a2d-42c6-ac30-d8cb2f69799d" targetNamespace="http://schemas.microsoft.com/office/2006/metadata/properties" ma:root="true" ma:fieldsID="711064dd5e4389418c44e2500faf2af7" ns3:_="" ns4:_="">
    <xsd:import namespace="5514f1eb-924d-4e1a-af9f-93cdeb31e5e9"/>
    <xsd:import namespace="ad676129-5a2d-42c6-ac30-d8cb2f69799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14f1eb-924d-4e1a-af9f-93cdeb31e5e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676129-5a2d-42c6-ac30-d8cb2f69799d"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35E084-6386-40FF-80DF-7E44B672B2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14f1eb-924d-4e1a-af9f-93cdeb31e5e9"/>
    <ds:schemaRef ds:uri="ad676129-5a2d-42c6-ac30-d8cb2f6979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3554E6-BB4A-4396-BFE5-FC91B79386CF}">
  <ds:schemaRefs>
    <ds:schemaRef ds:uri="http://schemas.microsoft.com/sharepoint/v3/contenttype/forms"/>
  </ds:schemaRefs>
</ds:datastoreItem>
</file>

<file path=customXml/itemProps3.xml><?xml version="1.0" encoding="utf-8"?>
<ds:datastoreItem xmlns:ds="http://schemas.openxmlformats.org/officeDocument/2006/customXml" ds:itemID="{51358E33-3DBE-4AC2-BEA3-DDFCAB124EA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00BA5C5-2BEF-467D-AA90-BC0F2F2295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808</Words>
  <Characters>4612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Department of Justice and Attorney-General</Company>
  <LinksUpToDate>false</LinksUpToDate>
  <CharactersWithSpaces>5410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Kalam James McTaggart</dc:creator>
  <cp:keywords/>
  <dc:description/>
  <cp:lastModifiedBy>Gregory Grodecki</cp:lastModifiedBy>
  <cp:revision>2</cp:revision>
  <cp:lastPrinted>2019-09-03T22:07:00Z</cp:lastPrinted>
  <dcterms:created xsi:type="dcterms:W3CDTF">2020-12-14T04:50:00Z</dcterms:created>
  <dcterms:modified xsi:type="dcterms:W3CDTF">2020-12-14T04:50:00Z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0x0101004DC4230F876CB4448907EA984CF9E863</vt:lpwstr>
  </property>
</Properties>
</file>